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F8BB8" w14:textId="0B756934" w:rsidR="006B5E73" w:rsidRDefault="006B5E73" w:rsidP="0054656E">
      <w:r>
        <w:t>Raporda ülkelerin dinlediği şarkıların analizi yapılarak, ülkelerin şarkı kültürlerini anlamaya yönelik bir çalışma gerçekleşecektir. Raporda 71 farklı ülke bulunmaktadır. Veriler Spotify 2019 top50 listesinden alınmıştır. Aşağıda 71 farklı ülke sırasıyla;</w:t>
      </w:r>
    </w:p>
    <w:p w14:paraId="720366F0" w14:textId="77777777" w:rsidR="00B556DF" w:rsidRDefault="0054656E" w:rsidP="0054656E">
      <w:r>
        <w:t xml:space="preserve">Almanya, Suudi Arabistan, Arjantin, Avustralya, Avusturya, Belarus (Beyaz Rusya), Brezilya, Bulgaristan, Belçika, Kanada, Şili, Kolombiya, Güney Kore, Kosta Rika, Danimarka, Birleşik Arap Emirlikleri, Ekvador, Mısır, El Salvador, Slovakya, İspanya, Amerika Birleşik Devletleri (ABD), Estonya, Filipinler, Finlandiya, Fransa, Yunanistan, Guatemala, Honduras, Hong Kong, Macaristan, Hindistan, Endonezya, İrlanda, İzlanda, İsrail, İtalya, Japonya, Kazakistan, Çek Cumhuriyeti, Dominik Cumhuriyeti, Letonya, Litvanya, Hollanda, Lüksemburg, Malezya, Fas, Meksika, Nikaragua, Nijerya, Norveç, Yeni Zelanda, Pakistan, Panama, Paraguay, Peru, Polonya, Portekiz, Birleşik Krallık, Romanya, Singapur, Güney Afrika, İsveç, İsviçre, Tayland, Tayvan, Türkiye, Ukrayna, Uruguay, Venezuela, Vietnam </w:t>
      </w:r>
    </w:p>
    <w:p w14:paraId="501F8331" w14:textId="660F3F7C" w:rsidR="003423E7" w:rsidRDefault="0054656E" w:rsidP="0054656E">
      <w:r>
        <w:t>Bulunan ve aynı zamanda global çapta dünya geneli olarak sınıflandırılan bir grup parça demeti de mevcuttur.</w:t>
      </w:r>
      <w:r w:rsidR="006B5E73">
        <w:t xml:space="preserve"> </w:t>
      </w:r>
      <w:r w:rsidR="00974F0A">
        <w:t>Ülkeler arasında global çaptaki parçalarda mevcut</w:t>
      </w:r>
      <w:r w:rsidR="006B5E73">
        <w:t>tur. P</w:t>
      </w:r>
      <w:r w:rsidR="00974F0A">
        <w:t xml:space="preserve">arçaların </w:t>
      </w:r>
      <w:r w:rsidR="00A436C7">
        <w:t>şarkının enerjisi, şarkının pozitiflik oranları arasındaki karşılaştırma bize ülkelerin dinlediği şarkılardan ül</w:t>
      </w:r>
      <w:r w:rsidR="006B5E73">
        <w:t xml:space="preserve">kelerin ne tarz şarkılar sevdiğinin analizi yapılacaktır. </w:t>
      </w:r>
      <w:r w:rsidR="003423E7">
        <w:t xml:space="preserve"> Aşağıda veri kümesinde kullanılacak sütunlar yer almaktadır.</w:t>
      </w:r>
    </w:p>
    <w:p w14:paraId="46E15D8B" w14:textId="2A996BF3" w:rsidR="00A14666" w:rsidRDefault="003423E7" w:rsidP="0054656E">
      <w:r w:rsidRPr="003423E7">
        <w:t>Energy: Enerji, 0,0 ila 1,0 arasında bir ölçüdür ve yoğunluk ve aktivitenin algısal bir ölçüsünü temsil eder. Tipik olarak enerjik parçalar hızlı</w:t>
      </w:r>
      <w:r w:rsidR="009A008B">
        <w:t xml:space="preserve"> ve </w:t>
      </w:r>
      <w:r w:rsidRPr="003423E7">
        <w:t>gürültülüdür.</w:t>
      </w:r>
    </w:p>
    <w:p w14:paraId="5ED2245A" w14:textId="2B68689B" w:rsidR="003423E7" w:rsidRDefault="003423E7" w:rsidP="0054656E">
      <w:r w:rsidRPr="003423E7">
        <w:t>Danceability: tempo, ritim istikrarı, vuruş gücü ve genel düzenlilik gibi müzikal unsurların birleşimine dayalı olarak bir parçanın dans için ne kadar uygun olduğunu açıklar. 0,0 değeri en az dans edilebilir, 1,0 ise en fazla dans edilebilir değerdir.</w:t>
      </w:r>
    </w:p>
    <w:p w14:paraId="0FA040C1" w14:textId="2284A0B6" w:rsidR="003423E7" w:rsidRDefault="003423E7" w:rsidP="0054656E">
      <w:r w:rsidRPr="003423E7">
        <w:t>Positiveness: Bir parçanın aktardığı müzikal pozitifliği tanımlayan 0,0 ile 1,0 arasında bir ölçü. Yüksek değerliliğe sahip parçalar daha olumlu ses çıkarır (örneğin mutlu, neşeli, coşkulu), düşük değerliliğe sahip parçalar ise daha olumsuz (örneğin üzgün, depresif, kızgın) ses çıkarır.</w:t>
      </w:r>
    </w:p>
    <w:p w14:paraId="4CF4A17A" w14:textId="7709B811" w:rsidR="003423E7" w:rsidRDefault="003423E7" w:rsidP="0054656E">
      <w:r>
        <w:t>Yukarıda bah</w:t>
      </w:r>
      <w:r w:rsidR="00BD1EDB">
        <w:t>sedilen</w:t>
      </w:r>
      <w:r>
        <w:t xml:space="preserve"> üç sütun</w:t>
      </w:r>
      <w:r w:rsidR="00BD1EDB">
        <w:t>,</w:t>
      </w:r>
      <w:r>
        <w:t xml:space="preserve"> şarkılar</w:t>
      </w:r>
      <w:r w:rsidR="00BD1EDB">
        <w:t xml:space="preserve"> hakkında bilgi sahibi olunabilecek ve ülkelerin şarkı dinleme kültürlerindeki yorumu sağlayabilecek bilgiyi verebilecektir.</w:t>
      </w:r>
    </w:p>
    <w:p w14:paraId="4AB69D7F" w14:textId="5D6295ED" w:rsidR="00374BF1" w:rsidRDefault="00D478A1" w:rsidP="0054656E">
      <w:r>
        <w:rPr>
          <w:noProof/>
        </w:rPr>
        <w:drawing>
          <wp:anchor distT="0" distB="0" distL="114300" distR="114300" simplePos="0" relativeHeight="251659264" behindDoc="0" locked="0" layoutInCell="1" allowOverlap="1" wp14:anchorId="2BAB2A94" wp14:editId="32F52D6C">
            <wp:simplePos x="0" y="0"/>
            <wp:positionH relativeFrom="page">
              <wp:align>right</wp:align>
            </wp:positionH>
            <wp:positionV relativeFrom="paragraph">
              <wp:posOffset>298450</wp:posOffset>
            </wp:positionV>
            <wp:extent cx="2537460" cy="1887855"/>
            <wp:effectExtent l="0" t="0" r="0" b="0"/>
            <wp:wrapSquare wrapText="bothSides"/>
            <wp:docPr id="551605881" name="Picture 2"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05881" name="Picture 2" descr="A diagram of a box plo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7460" cy="18878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E1D892D" wp14:editId="13472711">
            <wp:simplePos x="0" y="0"/>
            <wp:positionH relativeFrom="margin">
              <wp:posOffset>1485265</wp:posOffset>
            </wp:positionH>
            <wp:positionV relativeFrom="paragraph">
              <wp:posOffset>283210</wp:posOffset>
            </wp:positionV>
            <wp:extent cx="2672080" cy="1994535"/>
            <wp:effectExtent l="0" t="0" r="0" b="5715"/>
            <wp:wrapSquare wrapText="bothSides"/>
            <wp:docPr id="992090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90636" name="Picture 992090636"/>
                    <pic:cNvPicPr/>
                  </pic:nvPicPr>
                  <pic:blipFill>
                    <a:blip r:embed="rId6">
                      <a:extLst>
                        <a:ext uri="{28A0092B-C50C-407E-A947-70E740481C1C}">
                          <a14:useLocalDpi xmlns:a14="http://schemas.microsoft.com/office/drawing/2010/main" val="0"/>
                        </a:ext>
                      </a:extLst>
                    </a:blip>
                    <a:stretch>
                      <a:fillRect/>
                    </a:stretch>
                  </pic:blipFill>
                  <pic:spPr>
                    <a:xfrm>
                      <a:off x="0" y="0"/>
                      <a:ext cx="2672080" cy="19945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711597B" wp14:editId="6C2718F4">
            <wp:simplePos x="0" y="0"/>
            <wp:positionH relativeFrom="page">
              <wp:align>left</wp:align>
            </wp:positionH>
            <wp:positionV relativeFrom="paragraph">
              <wp:posOffset>271780</wp:posOffset>
            </wp:positionV>
            <wp:extent cx="2636520" cy="1977390"/>
            <wp:effectExtent l="0" t="0" r="0" b="3810"/>
            <wp:wrapSquare wrapText="bothSides"/>
            <wp:docPr id="1957974371" name="Picture 1" descr="A diagram of a blu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74371" name="Picture 1" descr="A diagram of a blue rectangular objec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6520" cy="1977390"/>
                    </a:xfrm>
                    <a:prstGeom prst="rect">
                      <a:avLst/>
                    </a:prstGeom>
                  </pic:spPr>
                </pic:pic>
              </a:graphicData>
            </a:graphic>
            <wp14:sizeRelH relativeFrom="page">
              <wp14:pctWidth>0</wp14:pctWidth>
            </wp14:sizeRelH>
            <wp14:sizeRelV relativeFrom="page">
              <wp14:pctHeight>0</wp14:pctHeight>
            </wp14:sizeRelV>
          </wp:anchor>
        </w:drawing>
      </w:r>
      <w:r w:rsidR="00E822E1" w:rsidRPr="003423E7">
        <w:t>Energy</w:t>
      </w:r>
      <w:r w:rsidR="00E822E1">
        <w:t xml:space="preserve">, </w:t>
      </w:r>
      <w:r w:rsidR="00E822E1" w:rsidRPr="003423E7">
        <w:t>Danceability</w:t>
      </w:r>
      <w:r w:rsidR="00E822E1">
        <w:t xml:space="preserve">, </w:t>
      </w:r>
      <w:r w:rsidR="00E822E1" w:rsidRPr="003423E7">
        <w:t>Positiveness</w:t>
      </w:r>
      <w:r w:rsidR="00E822E1">
        <w:t xml:space="preserve"> sütunlarının kutu grafiği aşağıdaki gibidir;</w:t>
      </w:r>
    </w:p>
    <w:p w14:paraId="2268E306" w14:textId="2F4D72DC" w:rsidR="00E822E1" w:rsidRDefault="00E822E1" w:rsidP="0054656E"/>
    <w:p w14:paraId="4790B590" w14:textId="75F6984F" w:rsidR="00D478A1" w:rsidRDefault="00D478A1" w:rsidP="00D478A1">
      <w:pPr>
        <w:tabs>
          <w:tab w:val="left" w:pos="1188"/>
        </w:tabs>
        <w:jc w:val="both"/>
      </w:pPr>
      <w:r w:rsidRPr="003423E7">
        <w:t>Energy</w:t>
      </w:r>
      <w:r>
        <w:t xml:space="preserve">, </w:t>
      </w:r>
      <w:r w:rsidRPr="003423E7">
        <w:t>Danceabilit</w:t>
      </w:r>
      <w:r>
        <w:t>y sütunlarında aykırı değerler mevcuttur. Aykırı değerleri, verilerin az olmasından dolayı, silme işlemi yerine, aykırı değerlere sahip verileri, ortalama ile değiştirme işlemi uygula</w:t>
      </w:r>
      <w:r w:rsidR="009A008B">
        <w:t>nmıştır.</w:t>
      </w:r>
    </w:p>
    <w:p w14:paraId="608BAA74" w14:textId="77777777" w:rsidR="00B556DF" w:rsidRDefault="00B556DF" w:rsidP="00D478A1">
      <w:pPr>
        <w:tabs>
          <w:tab w:val="left" w:pos="1188"/>
        </w:tabs>
        <w:jc w:val="both"/>
      </w:pPr>
    </w:p>
    <w:p w14:paraId="35AF4E9A" w14:textId="77777777" w:rsidR="00B556DF" w:rsidRDefault="00B556DF" w:rsidP="00D478A1">
      <w:pPr>
        <w:tabs>
          <w:tab w:val="left" w:pos="1188"/>
        </w:tabs>
        <w:jc w:val="both"/>
      </w:pPr>
    </w:p>
    <w:p w14:paraId="789E6120" w14:textId="691715E1" w:rsidR="00D478A1" w:rsidRDefault="009A008B" w:rsidP="00D478A1">
      <w:pPr>
        <w:tabs>
          <w:tab w:val="left" w:pos="1188"/>
        </w:tabs>
        <w:jc w:val="both"/>
      </w:pPr>
      <w:r>
        <w:lastRenderedPageBreak/>
        <w:t xml:space="preserve">Aykırı değerlerden arınmış sütunların </w:t>
      </w:r>
      <w:r w:rsidR="00764665" w:rsidRPr="00764665">
        <w:t>Shapiro-Wilk test</w:t>
      </w:r>
      <w:r w:rsidR="00764665">
        <w:t xml:space="preserve"> sonuçları sırasıyla;</w:t>
      </w:r>
    </w:p>
    <w:p w14:paraId="2680F578" w14:textId="05D445C5" w:rsidR="00D018A6" w:rsidRDefault="00764665" w:rsidP="00D018A6">
      <w:pPr>
        <w:tabs>
          <w:tab w:val="left" w:pos="1188"/>
        </w:tabs>
        <w:jc w:val="both"/>
      </w:pPr>
      <w:r w:rsidRPr="003423E7">
        <w:t>Energy</w:t>
      </w:r>
      <w:r>
        <w:t xml:space="preserve">: 0.032, </w:t>
      </w:r>
      <w:r w:rsidRPr="003423E7">
        <w:t>Danceabilit</w:t>
      </w:r>
      <w:r>
        <w:t xml:space="preserve">y: 0.0879, Positiveness: 0.00893 </w:t>
      </w:r>
      <w:r w:rsidRPr="003423E7">
        <w:t>Danceabilit</w:t>
      </w:r>
      <w:r>
        <w:t>y sütunu normal dağ</w:t>
      </w:r>
      <w:r w:rsidR="00D018A6">
        <w:t>ılmıştır</w:t>
      </w:r>
      <w:r>
        <w:t xml:space="preserve"> </w:t>
      </w:r>
      <w:r w:rsidR="00D018A6" w:rsidRPr="003423E7">
        <w:t>Energy</w:t>
      </w:r>
      <w:r w:rsidR="00D018A6">
        <w:t>, Positiveness sütunları normal dağılmamıştır. Spearman Korelasyon testi uyguladığımızda;</w:t>
      </w:r>
    </w:p>
    <w:tbl>
      <w:tblPr>
        <w:tblStyle w:val="TableGrid"/>
        <w:tblpPr w:leftFromText="141" w:rightFromText="141" w:vertAnchor="text" w:horzAnchor="margin" w:tblpXSpec="center" w:tblpY="217"/>
        <w:tblW w:w="11634" w:type="dxa"/>
        <w:tblLook w:val="04A0" w:firstRow="1" w:lastRow="0" w:firstColumn="1" w:lastColumn="0" w:noHBand="0" w:noVBand="1"/>
      </w:tblPr>
      <w:tblGrid>
        <w:gridCol w:w="1604"/>
        <w:gridCol w:w="1623"/>
        <w:gridCol w:w="1360"/>
        <w:gridCol w:w="1448"/>
        <w:gridCol w:w="548"/>
        <w:gridCol w:w="882"/>
        <w:gridCol w:w="1364"/>
        <w:gridCol w:w="1509"/>
        <w:gridCol w:w="1296"/>
      </w:tblGrid>
      <w:tr w:rsidR="000C011E" w14:paraId="3D1BA513" w14:textId="77777777" w:rsidTr="000C011E">
        <w:trPr>
          <w:trHeight w:val="350"/>
        </w:trPr>
        <w:tc>
          <w:tcPr>
            <w:tcW w:w="1604" w:type="dxa"/>
          </w:tcPr>
          <w:p w14:paraId="3B11DB9B" w14:textId="77777777" w:rsidR="000C011E" w:rsidRDefault="000C011E" w:rsidP="000C011E">
            <w:pPr>
              <w:tabs>
                <w:tab w:val="left" w:pos="1188"/>
              </w:tabs>
              <w:jc w:val="center"/>
            </w:pPr>
            <w:r>
              <w:t>X</w:t>
            </w:r>
          </w:p>
        </w:tc>
        <w:tc>
          <w:tcPr>
            <w:tcW w:w="1623" w:type="dxa"/>
          </w:tcPr>
          <w:p w14:paraId="3722943D" w14:textId="77777777" w:rsidR="000C011E" w:rsidRDefault="000C011E" w:rsidP="000C011E">
            <w:pPr>
              <w:tabs>
                <w:tab w:val="left" w:pos="1188"/>
              </w:tabs>
              <w:jc w:val="center"/>
            </w:pPr>
            <w:r>
              <w:t>Y</w:t>
            </w:r>
          </w:p>
        </w:tc>
        <w:tc>
          <w:tcPr>
            <w:tcW w:w="1360" w:type="dxa"/>
          </w:tcPr>
          <w:p w14:paraId="449DB436" w14:textId="77777777" w:rsidR="000C011E" w:rsidRDefault="000C011E" w:rsidP="000C011E">
            <w:pPr>
              <w:tabs>
                <w:tab w:val="left" w:pos="1188"/>
              </w:tabs>
              <w:jc w:val="center"/>
            </w:pPr>
            <w:r w:rsidRPr="00D7729E">
              <w:t>method</w:t>
            </w:r>
          </w:p>
        </w:tc>
        <w:tc>
          <w:tcPr>
            <w:tcW w:w="1448" w:type="dxa"/>
          </w:tcPr>
          <w:p w14:paraId="71176377" w14:textId="77777777" w:rsidR="000C011E" w:rsidRDefault="000C011E" w:rsidP="000C011E">
            <w:pPr>
              <w:tabs>
                <w:tab w:val="left" w:pos="1188"/>
              </w:tabs>
              <w:jc w:val="center"/>
            </w:pPr>
            <w:r w:rsidRPr="00D7729E">
              <w:t>alternative</w:t>
            </w:r>
          </w:p>
        </w:tc>
        <w:tc>
          <w:tcPr>
            <w:tcW w:w="548" w:type="dxa"/>
          </w:tcPr>
          <w:p w14:paraId="294FC2FE" w14:textId="77777777" w:rsidR="000C011E" w:rsidRDefault="000C011E" w:rsidP="000C011E">
            <w:pPr>
              <w:tabs>
                <w:tab w:val="left" w:pos="1188"/>
              </w:tabs>
              <w:jc w:val="center"/>
            </w:pPr>
            <w:r>
              <w:t>n</w:t>
            </w:r>
          </w:p>
        </w:tc>
        <w:tc>
          <w:tcPr>
            <w:tcW w:w="882" w:type="dxa"/>
          </w:tcPr>
          <w:p w14:paraId="73F8605D" w14:textId="77777777" w:rsidR="000C011E" w:rsidRDefault="000C011E" w:rsidP="000C011E">
            <w:pPr>
              <w:tabs>
                <w:tab w:val="left" w:pos="1188"/>
              </w:tabs>
              <w:jc w:val="center"/>
            </w:pPr>
            <w:r>
              <w:t>r</w:t>
            </w:r>
          </w:p>
        </w:tc>
        <w:tc>
          <w:tcPr>
            <w:tcW w:w="1364" w:type="dxa"/>
          </w:tcPr>
          <w:p w14:paraId="1A95C4AD" w14:textId="77777777" w:rsidR="000C011E" w:rsidRDefault="000C011E" w:rsidP="000C011E">
            <w:pPr>
              <w:tabs>
                <w:tab w:val="left" w:pos="1188"/>
              </w:tabs>
              <w:jc w:val="center"/>
            </w:pPr>
            <w:r w:rsidRPr="00D7729E">
              <w:t>CI95%</w:t>
            </w:r>
          </w:p>
        </w:tc>
        <w:tc>
          <w:tcPr>
            <w:tcW w:w="1509" w:type="dxa"/>
          </w:tcPr>
          <w:p w14:paraId="7EA6E21B" w14:textId="77777777" w:rsidR="000C011E" w:rsidRDefault="000C011E" w:rsidP="000C011E">
            <w:pPr>
              <w:tabs>
                <w:tab w:val="left" w:pos="1188"/>
              </w:tabs>
              <w:jc w:val="center"/>
            </w:pPr>
            <w:r w:rsidRPr="000C011E">
              <w:t>p-unc</w:t>
            </w:r>
          </w:p>
        </w:tc>
        <w:tc>
          <w:tcPr>
            <w:tcW w:w="1296" w:type="dxa"/>
          </w:tcPr>
          <w:p w14:paraId="633D2E07" w14:textId="77777777" w:rsidR="000C011E" w:rsidRDefault="000C011E" w:rsidP="000C011E">
            <w:pPr>
              <w:tabs>
                <w:tab w:val="left" w:pos="1188"/>
              </w:tabs>
              <w:jc w:val="center"/>
            </w:pPr>
            <w:r w:rsidRPr="000C011E">
              <w:t>power</w:t>
            </w:r>
          </w:p>
        </w:tc>
      </w:tr>
      <w:tr w:rsidR="000C011E" w14:paraId="4DDBC9E5" w14:textId="77777777" w:rsidTr="000C011E">
        <w:trPr>
          <w:trHeight w:val="437"/>
        </w:trPr>
        <w:tc>
          <w:tcPr>
            <w:tcW w:w="1604" w:type="dxa"/>
          </w:tcPr>
          <w:p w14:paraId="68989E45" w14:textId="77777777" w:rsidR="000C011E" w:rsidRDefault="000C011E" w:rsidP="000C011E">
            <w:pPr>
              <w:tabs>
                <w:tab w:val="left" w:pos="1188"/>
              </w:tabs>
              <w:jc w:val="center"/>
            </w:pPr>
            <w:r w:rsidRPr="000C011E">
              <w:t>Positiveness</w:t>
            </w:r>
          </w:p>
        </w:tc>
        <w:tc>
          <w:tcPr>
            <w:tcW w:w="1623" w:type="dxa"/>
          </w:tcPr>
          <w:p w14:paraId="41FCAB23" w14:textId="77777777" w:rsidR="000C011E" w:rsidRDefault="000C011E" w:rsidP="000C011E">
            <w:pPr>
              <w:tabs>
                <w:tab w:val="left" w:pos="1188"/>
              </w:tabs>
              <w:jc w:val="center"/>
            </w:pPr>
            <w:r w:rsidRPr="000C011E">
              <w:t>Energy</w:t>
            </w:r>
          </w:p>
        </w:tc>
        <w:tc>
          <w:tcPr>
            <w:tcW w:w="1360" w:type="dxa"/>
          </w:tcPr>
          <w:p w14:paraId="153E310A" w14:textId="77777777" w:rsidR="000C011E" w:rsidRDefault="000C011E" w:rsidP="000C011E">
            <w:pPr>
              <w:tabs>
                <w:tab w:val="left" w:pos="1188"/>
              </w:tabs>
              <w:jc w:val="center"/>
            </w:pPr>
            <w:r w:rsidRPr="000C011E">
              <w:t>spearman</w:t>
            </w:r>
          </w:p>
        </w:tc>
        <w:tc>
          <w:tcPr>
            <w:tcW w:w="1448" w:type="dxa"/>
          </w:tcPr>
          <w:p w14:paraId="0DEBFF83" w14:textId="77777777" w:rsidR="000C011E" w:rsidRDefault="000C011E" w:rsidP="000C011E">
            <w:pPr>
              <w:tabs>
                <w:tab w:val="left" w:pos="1188"/>
              </w:tabs>
              <w:jc w:val="center"/>
            </w:pPr>
            <w:r w:rsidRPr="000C011E">
              <w:t>two-sided</w:t>
            </w:r>
          </w:p>
        </w:tc>
        <w:tc>
          <w:tcPr>
            <w:tcW w:w="548" w:type="dxa"/>
          </w:tcPr>
          <w:p w14:paraId="31B604E1" w14:textId="77777777" w:rsidR="000C011E" w:rsidRDefault="000C011E" w:rsidP="000C011E">
            <w:pPr>
              <w:tabs>
                <w:tab w:val="left" w:pos="1188"/>
              </w:tabs>
              <w:jc w:val="center"/>
            </w:pPr>
            <w:r w:rsidRPr="000C011E">
              <w:t>72</w:t>
            </w:r>
          </w:p>
        </w:tc>
        <w:tc>
          <w:tcPr>
            <w:tcW w:w="882" w:type="dxa"/>
          </w:tcPr>
          <w:p w14:paraId="2EE5FFBC" w14:textId="711BD26A" w:rsidR="000C011E" w:rsidRDefault="000C011E" w:rsidP="000C011E">
            <w:pPr>
              <w:tabs>
                <w:tab w:val="left" w:pos="1188"/>
              </w:tabs>
              <w:jc w:val="center"/>
            </w:pPr>
            <w:r w:rsidRPr="000C011E">
              <w:t>0.71</w:t>
            </w:r>
          </w:p>
        </w:tc>
        <w:tc>
          <w:tcPr>
            <w:tcW w:w="1364" w:type="dxa"/>
          </w:tcPr>
          <w:p w14:paraId="48909A86" w14:textId="77777777" w:rsidR="000C011E" w:rsidRDefault="000C011E" w:rsidP="000C011E">
            <w:pPr>
              <w:tabs>
                <w:tab w:val="left" w:pos="1188"/>
              </w:tabs>
              <w:jc w:val="center"/>
            </w:pPr>
            <w:r w:rsidRPr="000C011E">
              <w:t>[0.57, 0.81]</w:t>
            </w:r>
          </w:p>
        </w:tc>
        <w:tc>
          <w:tcPr>
            <w:tcW w:w="1509" w:type="dxa"/>
          </w:tcPr>
          <w:p w14:paraId="6E84EE9A" w14:textId="77777777" w:rsidR="000C011E" w:rsidRDefault="000C011E" w:rsidP="000C011E">
            <w:pPr>
              <w:tabs>
                <w:tab w:val="left" w:pos="1188"/>
              </w:tabs>
              <w:jc w:val="center"/>
            </w:pPr>
            <w:r w:rsidRPr="000C011E">
              <w:t>2.840244e-12</w:t>
            </w:r>
          </w:p>
        </w:tc>
        <w:tc>
          <w:tcPr>
            <w:tcW w:w="1296" w:type="dxa"/>
          </w:tcPr>
          <w:p w14:paraId="7CC287AC" w14:textId="099CAF45" w:rsidR="000C011E" w:rsidRDefault="000C011E" w:rsidP="000C011E">
            <w:pPr>
              <w:tabs>
                <w:tab w:val="left" w:pos="1188"/>
              </w:tabs>
              <w:jc w:val="center"/>
            </w:pPr>
            <w:r w:rsidRPr="000C011E">
              <w:t>1</w:t>
            </w:r>
          </w:p>
        </w:tc>
      </w:tr>
      <w:tr w:rsidR="000C011E" w14:paraId="6FDA2E42" w14:textId="77777777" w:rsidTr="000C011E">
        <w:trPr>
          <w:trHeight w:val="401"/>
        </w:trPr>
        <w:tc>
          <w:tcPr>
            <w:tcW w:w="1604" w:type="dxa"/>
          </w:tcPr>
          <w:p w14:paraId="03DD2C23" w14:textId="77777777" w:rsidR="000C011E" w:rsidRDefault="000C011E" w:rsidP="000C011E">
            <w:pPr>
              <w:tabs>
                <w:tab w:val="left" w:pos="1188"/>
              </w:tabs>
              <w:jc w:val="center"/>
            </w:pPr>
            <w:r w:rsidRPr="000C011E">
              <w:t>Positiveness</w:t>
            </w:r>
          </w:p>
        </w:tc>
        <w:tc>
          <w:tcPr>
            <w:tcW w:w="1623" w:type="dxa"/>
          </w:tcPr>
          <w:p w14:paraId="56F2FB4D" w14:textId="77777777" w:rsidR="000C011E" w:rsidRDefault="000C011E" w:rsidP="000C011E">
            <w:pPr>
              <w:tabs>
                <w:tab w:val="left" w:pos="1188"/>
              </w:tabs>
              <w:jc w:val="center"/>
            </w:pPr>
            <w:r w:rsidRPr="000C011E">
              <w:t>Danceability</w:t>
            </w:r>
          </w:p>
        </w:tc>
        <w:tc>
          <w:tcPr>
            <w:tcW w:w="1360" w:type="dxa"/>
          </w:tcPr>
          <w:p w14:paraId="429FA8D7" w14:textId="77777777" w:rsidR="000C011E" w:rsidRDefault="000C011E" w:rsidP="000C011E">
            <w:pPr>
              <w:tabs>
                <w:tab w:val="left" w:pos="1188"/>
              </w:tabs>
              <w:jc w:val="center"/>
            </w:pPr>
            <w:r w:rsidRPr="000C011E">
              <w:t>spearman</w:t>
            </w:r>
          </w:p>
        </w:tc>
        <w:tc>
          <w:tcPr>
            <w:tcW w:w="1448" w:type="dxa"/>
          </w:tcPr>
          <w:p w14:paraId="021D2137" w14:textId="77777777" w:rsidR="000C011E" w:rsidRDefault="000C011E" w:rsidP="000C011E">
            <w:pPr>
              <w:tabs>
                <w:tab w:val="left" w:pos="1188"/>
              </w:tabs>
              <w:jc w:val="center"/>
            </w:pPr>
            <w:r w:rsidRPr="000C011E">
              <w:t>two-sided</w:t>
            </w:r>
          </w:p>
        </w:tc>
        <w:tc>
          <w:tcPr>
            <w:tcW w:w="548" w:type="dxa"/>
          </w:tcPr>
          <w:p w14:paraId="328FFE0B" w14:textId="77777777" w:rsidR="000C011E" w:rsidRDefault="000C011E" w:rsidP="000C011E">
            <w:pPr>
              <w:tabs>
                <w:tab w:val="left" w:pos="1188"/>
              </w:tabs>
              <w:jc w:val="center"/>
            </w:pPr>
            <w:r w:rsidRPr="000C011E">
              <w:t>72</w:t>
            </w:r>
          </w:p>
        </w:tc>
        <w:tc>
          <w:tcPr>
            <w:tcW w:w="882" w:type="dxa"/>
          </w:tcPr>
          <w:p w14:paraId="5911B547" w14:textId="28A7BEC8" w:rsidR="000C011E" w:rsidRDefault="000C011E" w:rsidP="000C011E">
            <w:pPr>
              <w:tabs>
                <w:tab w:val="left" w:pos="1188"/>
              </w:tabs>
              <w:jc w:val="center"/>
            </w:pPr>
            <w:r w:rsidRPr="000C011E">
              <w:t>0.68</w:t>
            </w:r>
          </w:p>
        </w:tc>
        <w:tc>
          <w:tcPr>
            <w:tcW w:w="1364" w:type="dxa"/>
          </w:tcPr>
          <w:p w14:paraId="17644800" w14:textId="77777777" w:rsidR="000C011E" w:rsidRDefault="000C011E" w:rsidP="000C011E">
            <w:pPr>
              <w:tabs>
                <w:tab w:val="left" w:pos="1188"/>
              </w:tabs>
              <w:jc w:val="center"/>
            </w:pPr>
            <w:r w:rsidRPr="000C011E">
              <w:t>[0.53, 0.79]</w:t>
            </w:r>
          </w:p>
        </w:tc>
        <w:tc>
          <w:tcPr>
            <w:tcW w:w="1509" w:type="dxa"/>
          </w:tcPr>
          <w:p w14:paraId="7D2AEE5B" w14:textId="77777777" w:rsidR="000C011E" w:rsidRDefault="000C011E" w:rsidP="000C011E">
            <w:pPr>
              <w:tabs>
                <w:tab w:val="left" w:pos="1188"/>
              </w:tabs>
              <w:jc w:val="center"/>
            </w:pPr>
            <w:r w:rsidRPr="000C011E">
              <w:t>4.288917e-11</w:t>
            </w:r>
          </w:p>
        </w:tc>
        <w:tc>
          <w:tcPr>
            <w:tcW w:w="1296" w:type="dxa"/>
          </w:tcPr>
          <w:p w14:paraId="73070866" w14:textId="40BF6D63" w:rsidR="000C011E" w:rsidRDefault="000C011E" w:rsidP="000C011E">
            <w:pPr>
              <w:tabs>
                <w:tab w:val="left" w:pos="1188"/>
              </w:tabs>
              <w:jc w:val="center"/>
            </w:pPr>
            <w:r w:rsidRPr="000C011E">
              <w:t>1</w:t>
            </w:r>
          </w:p>
        </w:tc>
      </w:tr>
      <w:tr w:rsidR="000C011E" w14:paraId="6345EEEF" w14:textId="77777777" w:rsidTr="000C011E">
        <w:trPr>
          <w:trHeight w:val="446"/>
        </w:trPr>
        <w:tc>
          <w:tcPr>
            <w:tcW w:w="1604" w:type="dxa"/>
          </w:tcPr>
          <w:p w14:paraId="202D87E6" w14:textId="77777777" w:rsidR="000C011E" w:rsidRDefault="000C011E" w:rsidP="000C011E">
            <w:pPr>
              <w:tabs>
                <w:tab w:val="left" w:pos="1188"/>
              </w:tabs>
              <w:jc w:val="center"/>
            </w:pPr>
            <w:r w:rsidRPr="000C011E">
              <w:t>Energy</w:t>
            </w:r>
          </w:p>
        </w:tc>
        <w:tc>
          <w:tcPr>
            <w:tcW w:w="1623" w:type="dxa"/>
          </w:tcPr>
          <w:p w14:paraId="0DC34804" w14:textId="77777777" w:rsidR="000C011E" w:rsidRDefault="000C011E" w:rsidP="000C011E">
            <w:pPr>
              <w:tabs>
                <w:tab w:val="left" w:pos="1188"/>
              </w:tabs>
              <w:jc w:val="center"/>
            </w:pPr>
            <w:r w:rsidRPr="000C011E">
              <w:t>Danceability</w:t>
            </w:r>
          </w:p>
        </w:tc>
        <w:tc>
          <w:tcPr>
            <w:tcW w:w="1360" w:type="dxa"/>
          </w:tcPr>
          <w:p w14:paraId="17AE838B" w14:textId="77777777" w:rsidR="000C011E" w:rsidRDefault="000C011E" w:rsidP="000C011E">
            <w:pPr>
              <w:tabs>
                <w:tab w:val="left" w:pos="1188"/>
              </w:tabs>
              <w:jc w:val="center"/>
            </w:pPr>
            <w:r w:rsidRPr="000C011E">
              <w:t>spearman</w:t>
            </w:r>
          </w:p>
        </w:tc>
        <w:tc>
          <w:tcPr>
            <w:tcW w:w="1448" w:type="dxa"/>
          </w:tcPr>
          <w:p w14:paraId="1CF926EB" w14:textId="77777777" w:rsidR="000C011E" w:rsidRDefault="000C011E" w:rsidP="000C011E">
            <w:pPr>
              <w:tabs>
                <w:tab w:val="left" w:pos="1188"/>
              </w:tabs>
              <w:jc w:val="center"/>
            </w:pPr>
            <w:r w:rsidRPr="000C011E">
              <w:t>two-sided</w:t>
            </w:r>
          </w:p>
        </w:tc>
        <w:tc>
          <w:tcPr>
            <w:tcW w:w="548" w:type="dxa"/>
          </w:tcPr>
          <w:p w14:paraId="1D56BA6C" w14:textId="77777777" w:rsidR="000C011E" w:rsidRDefault="000C011E" w:rsidP="000C011E">
            <w:pPr>
              <w:tabs>
                <w:tab w:val="left" w:pos="1188"/>
              </w:tabs>
              <w:jc w:val="center"/>
            </w:pPr>
            <w:r w:rsidRPr="000C011E">
              <w:t>72</w:t>
            </w:r>
          </w:p>
        </w:tc>
        <w:tc>
          <w:tcPr>
            <w:tcW w:w="882" w:type="dxa"/>
          </w:tcPr>
          <w:p w14:paraId="233A8BCA" w14:textId="29F92ECD" w:rsidR="000C011E" w:rsidRDefault="000C011E" w:rsidP="000C011E">
            <w:pPr>
              <w:tabs>
                <w:tab w:val="left" w:pos="1188"/>
              </w:tabs>
              <w:jc w:val="center"/>
            </w:pPr>
            <w:r w:rsidRPr="000C011E">
              <w:t>0.53</w:t>
            </w:r>
          </w:p>
        </w:tc>
        <w:tc>
          <w:tcPr>
            <w:tcW w:w="1364" w:type="dxa"/>
          </w:tcPr>
          <w:p w14:paraId="181193F6" w14:textId="77777777" w:rsidR="000C011E" w:rsidRDefault="000C011E" w:rsidP="000C011E">
            <w:pPr>
              <w:tabs>
                <w:tab w:val="left" w:pos="1188"/>
              </w:tabs>
              <w:jc w:val="center"/>
            </w:pPr>
            <w:r w:rsidRPr="000C011E">
              <w:t>[0.34, 0.68]</w:t>
            </w:r>
          </w:p>
        </w:tc>
        <w:tc>
          <w:tcPr>
            <w:tcW w:w="1509" w:type="dxa"/>
          </w:tcPr>
          <w:p w14:paraId="7565F418" w14:textId="77777777" w:rsidR="000C011E" w:rsidRDefault="000C011E" w:rsidP="000C011E">
            <w:pPr>
              <w:tabs>
                <w:tab w:val="left" w:pos="1188"/>
              </w:tabs>
              <w:jc w:val="center"/>
            </w:pPr>
            <w:r w:rsidRPr="000C011E">
              <w:t>1.419075e-06</w:t>
            </w:r>
          </w:p>
        </w:tc>
        <w:tc>
          <w:tcPr>
            <w:tcW w:w="1296" w:type="dxa"/>
          </w:tcPr>
          <w:p w14:paraId="6352319B" w14:textId="1AFB70AB" w:rsidR="000C011E" w:rsidRDefault="000C011E" w:rsidP="000C011E">
            <w:pPr>
              <w:tabs>
                <w:tab w:val="left" w:pos="1188"/>
              </w:tabs>
              <w:jc w:val="center"/>
            </w:pPr>
            <w:r w:rsidRPr="000C011E">
              <w:t>0.998</w:t>
            </w:r>
          </w:p>
        </w:tc>
      </w:tr>
    </w:tbl>
    <w:p w14:paraId="4ACA3AD5" w14:textId="77777777" w:rsidR="00D018A6" w:rsidRDefault="00D018A6" w:rsidP="000C011E">
      <w:pPr>
        <w:tabs>
          <w:tab w:val="left" w:pos="1188"/>
        </w:tabs>
        <w:jc w:val="center"/>
      </w:pPr>
    </w:p>
    <w:p w14:paraId="3BFEFB19" w14:textId="31CC621C" w:rsidR="009A008B" w:rsidRDefault="000D63AC" w:rsidP="00D478A1">
      <w:pPr>
        <w:tabs>
          <w:tab w:val="left" w:pos="1188"/>
        </w:tabs>
        <w:jc w:val="both"/>
      </w:pPr>
      <w:r w:rsidRPr="000C011E">
        <w:t>Positiveness</w:t>
      </w:r>
      <w:r>
        <w:t xml:space="preserve"> ile </w:t>
      </w:r>
      <w:r w:rsidRPr="000C011E">
        <w:t>Energy</w:t>
      </w:r>
      <w:r>
        <w:t xml:space="preserve">, </w:t>
      </w:r>
      <w:r w:rsidRPr="000C011E">
        <w:t>spearman</w:t>
      </w:r>
      <w:r>
        <w:t xml:space="preserve"> korelasyon katsayısı</w:t>
      </w:r>
      <w:r w:rsidR="00537443">
        <w:t>(r)</w:t>
      </w:r>
      <w:r>
        <w:t xml:space="preserve"> </w:t>
      </w:r>
      <w:r w:rsidRPr="000C011E">
        <w:t>0.71</w:t>
      </w:r>
      <w:r>
        <w:t xml:space="preserve"> olduğu durumda, bu iki sütunu </w:t>
      </w:r>
      <w:r w:rsidRPr="000C011E">
        <w:t>Danceability</w:t>
      </w:r>
      <w:r>
        <w:t xml:space="preserve"> sütunun etkilemesinin, boyutunun anlaşılması için k</w:t>
      </w:r>
      <w:r w:rsidR="00B556DF">
        <w:t>ı</w:t>
      </w:r>
      <w:r>
        <w:t>smi korelasyon kulla</w:t>
      </w:r>
      <w:r w:rsidR="00B556DF">
        <w:t>nılmıştır</w:t>
      </w:r>
      <w:r>
        <w:t>. Kısmi korelasyon</w:t>
      </w:r>
      <w:r w:rsidR="00537443">
        <w:t>(r)</w:t>
      </w:r>
      <w:r w:rsidR="00B556DF">
        <w:t>;</w:t>
      </w:r>
    </w:p>
    <w:tbl>
      <w:tblPr>
        <w:tblStyle w:val="TableGrid"/>
        <w:tblW w:w="10102" w:type="dxa"/>
        <w:tblInd w:w="-521" w:type="dxa"/>
        <w:tblLook w:val="04A0" w:firstRow="1" w:lastRow="0" w:firstColumn="1" w:lastColumn="0" w:noHBand="0" w:noVBand="1"/>
      </w:tblPr>
      <w:tblGrid>
        <w:gridCol w:w="2525"/>
        <w:gridCol w:w="2525"/>
        <w:gridCol w:w="2526"/>
        <w:gridCol w:w="2526"/>
      </w:tblGrid>
      <w:tr w:rsidR="00B556DF" w14:paraId="7CB6F4E5" w14:textId="77777777" w:rsidTr="00B556DF">
        <w:trPr>
          <w:trHeight w:val="309"/>
        </w:trPr>
        <w:tc>
          <w:tcPr>
            <w:tcW w:w="2525" w:type="dxa"/>
          </w:tcPr>
          <w:p w14:paraId="7BE97163" w14:textId="43A96896" w:rsidR="00B556DF" w:rsidRDefault="00B556DF" w:rsidP="00B556DF">
            <w:pPr>
              <w:tabs>
                <w:tab w:val="left" w:pos="1188"/>
              </w:tabs>
              <w:jc w:val="center"/>
            </w:pPr>
            <w:r>
              <w:t>n</w:t>
            </w:r>
          </w:p>
        </w:tc>
        <w:tc>
          <w:tcPr>
            <w:tcW w:w="2525" w:type="dxa"/>
          </w:tcPr>
          <w:p w14:paraId="45AFEF88" w14:textId="551E2E2A" w:rsidR="00B556DF" w:rsidRDefault="00B556DF" w:rsidP="00B556DF">
            <w:pPr>
              <w:tabs>
                <w:tab w:val="left" w:pos="1188"/>
              </w:tabs>
              <w:jc w:val="center"/>
            </w:pPr>
            <w:r>
              <w:t>r</w:t>
            </w:r>
          </w:p>
        </w:tc>
        <w:tc>
          <w:tcPr>
            <w:tcW w:w="2526" w:type="dxa"/>
          </w:tcPr>
          <w:p w14:paraId="098504F5" w14:textId="6CE7C185" w:rsidR="00B556DF" w:rsidRDefault="00B556DF" w:rsidP="00B556DF">
            <w:pPr>
              <w:tabs>
                <w:tab w:val="left" w:pos="1188"/>
              </w:tabs>
              <w:jc w:val="center"/>
            </w:pPr>
            <w:r w:rsidRPr="00B556DF">
              <w:t>CI95%</w:t>
            </w:r>
          </w:p>
        </w:tc>
        <w:tc>
          <w:tcPr>
            <w:tcW w:w="2526" w:type="dxa"/>
          </w:tcPr>
          <w:p w14:paraId="4F1BE898" w14:textId="2FA4DB73" w:rsidR="00B556DF" w:rsidRDefault="00537443" w:rsidP="00B556DF">
            <w:pPr>
              <w:tabs>
                <w:tab w:val="left" w:pos="1188"/>
              </w:tabs>
              <w:jc w:val="center"/>
            </w:pPr>
            <w:r w:rsidRPr="00B556DF">
              <w:t>CI95%</w:t>
            </w:r>
          </w:p>
        </w:tc>
      </w:tr>
      <w:tr w:rsidR="00B556DF" w14:paraId="0C28071D" w14:textId="77777777" w:rsidTr="00B556DF">
        <w:trPr>
          <w:trHeight w:val="309"/>
        </w:trPr>
        <w:tc>
          <w:tcPr>
            <w:tcW w:w="2525" w:type="dxa"/>
          </w:tcPr>
          <w:p w14:paraId="11DDE1B1" w14:textId="45F5E9AE" w:rsidR="00B556DF" w:rsidRDefault="00B556DF" w:rsidP="00B556DF">
            <w:pPr>
              <w:tabs>
                <w:tab w:val="left" w:pos="1188"/>
              </w:tabs>
              <w:jc w:val="center"/>
            </w:pPr>
            <w:r w:rsidRPr="00B556DF">
              <w:t>72</w:t>
            </w:r>
          </w:p>
        </w:tc>
        <w:tc>
          <w:tcPr>
            <w:tcW w:w="2525" w:type="dxa"/>
          </w:tcPr>
          <w:p w14:paraId="0827F761" w14:textId="070CF7C7" w:rsidR="00B556DF" w:rsidRDefault="00B556DF" w:rsidP="00B556DF">
            <w:pPr>
              <w:tabs>
                <w:tab w:val="left" w:pos="1188"/>
              </w:tabs>
              <w:jc w:val="center"/>
            </w:pPr>
            <w:r w:rsidRPr="00B556DF">
              <w:t>0.56</w:t>
            </w:r>
          </w:p>
        </w:tc>
        <w:tc>
          <w:tcPr>
            <w:tcW w:w="2526" w:type="dxa"/>
          </w:tcPr>
          <w:p w14:paraId="004A00EF" w14:textId="454214F2" w:rsidR="00B556DF" w:rsidRDefault="00B556DF" w:rsidP="00B556DF">
            <w:pPr>
              <w:tabs>
                <w:tab w:val="left" w:pos="1188"/>
              </w:tabs>
              <w:jc w:val="center"/>
            </w:pPr>
            <w:r w:rsidRPr="00B556DF">
              <w:t>[0.38, 0.7]</w:t>
            </w:r>
          </w:p>
        </w:tc>
        <w:tc>
          <w:tcPr>
            <w:tcW w:w="2526" w:type="dxa"/>
          </w:tcPr>
          <w:p w14:paraId="3212893F" w14:textId="50E372D2" w:rsidR="00B556DF" w:rsidRDefault="00B556DF" w:rsidP="00B556DF">
            <w:pPr>
              <w:tabs>
                <w:tab w:val="left" w:pos="1188"/>
              </w:tabs>
              <w:jc w:val="center"/>
            </w:pPr>
            <w:r w:rsidRPr="00B556DF">
              <w:t>3.811728e-07</w:t>
            </w:r>
          </w:p>
        </w:tc>
      </w:tr>
    </w:tbl>
    <w:p w14:paraId="16BE962D" w14:textId="77777777" w:rsidR="00D478A1" w:rsidRDefault="00D478A1" w:rsidP="00D478A1">
      <w:pPr>
        <w:tabs>
          <w:tab w:val="left" w:pos="1188"/>
        </w:tabs>
        <w:jc w:val="both"/>
      </w:pPr>
    </w:p>
    <w:p w14:paraId="2F31083D" w14:textId="53ADD094" w:rsidR="00B556DF" w:rsidRDefault="00537443" w:rsidP="00D478A1">
      <w:pPr>
        <w:tabs>
          <w:tab w:val="left" w:pos="1188"/>
        </w:tabs>
        <w:jc w:val="both"/>
      </w:pPr>
      <w:r>
        <w:t xml:space="preserve">Korelasyon katsayısı(r) </w:t>
      </w:r>
      <w:r w:rsidR="00B556DF">
        <w:t xml:space="preserve">0.56’ya düşmüştür. </w:t>
      </w:r>
      <w:r w:rsidRPr="000C011E">
        <w:t>Positiveness</w:t>
      </w:r>
      <w:r>
        <w:t xml:space="preserve"> ile </w:t>
      </w:r>
      <w:r w:rsidRPr="000C011E">
        <w:t>Energy</w:t>
      </w:r>
      <w:r>
        <w:t xml:space="preserve"> sütunları arasında korelasyon ciddi olmasa bile, var olduğu ortadadır. Buna göre;</w:t>
      </w:r>
    </w:p>
    <w:p w14:paraId="491B099F" w14:textId="739915DE" w:rsidR="00537443" w:rsidRPr="00D478A1" w:rsidRDefault="00537443" w:rsidP="00D478A1">
      <w:pPr>
        <w:tabs>
          <w:tab w:val="left" w:pos="1188"/>
        </w:tabs>
        <w:jc w:val="both"/>
      </w:pPr>
      <w:r>
        <w:t xml:space="preserve">Şarkıların pozitifliği ve enerjikliği arasında orta seviye ilişki vardır. Bazı şarkıların pozitif olmasına rağmen o şarkının </w:t>
      </w:r>
      <w:r w:rsidRPr="00537443">
        <w:rPr>
          <w:u w:val="single"/>
        </w:rPr>
        <w:t>aynı oranda</w:t>
      </w:r>
      <w:r>
        <w:t xml:space="preserve"> enerjik olmalı diye bir kaide olmadığı anlaşılmıştır.</w:t>
      </w:r>
      <w:r w:rsidR="0074727B">
        <w:t xml:space="preserve"> </w:t>
      </w:r>
      <w:r w:rsidR="0074727B" w:rsidRPr="000C011E">
        <w:t>Positiveness</w:t>
      </w:r>
      <w:r w:rsidR="0074727B">
        <w:t xml:space="preserve">, </w:t>
      </w:r>
      <w:r w:rsidR="0074727B" w:rsidRPr="000C011E">
        <w:t>Danceability</w:t>
      </w:r>
      <w:r w:rsidR="0074727B">
        <w:t xml:space="preserve"> spearman korelasyon katsayısı(r) </w:t>
      </w:r>
      <w:r w:rsidR="0074727B" w:rsidRPr="000C011E">
        <w:t>0.68</w:t>
      </w:r>
      <w:r w:rsidR="0074727B">
        <w:t xml:space="preserve"> olduğu durumda kısmi korelasyon(r); </w:t>
      </w:r>
    </w:p>
    <w:tbl>
      <w:tblPr>
        <w:tblStyle w:val="TableGrid"/>
        <w:tblW w:w="10026" w:type="dxa"/>
        <w:tblInd w:w="-485" w:type="dxa"/>
        <w:tblLook w:val="04A0" w:firstRow="1" w:lastRow="0" w:firstColumn="1" w:lastColumn="0" w:noHBand="0" w:noVBand="1"/>
      </w:tblPr>
      <w:tblGrid>
        <w:gridCol w:w="2506"/>
        <w:gridCol w:w="2506"/>
        <w:gridCol w:w="2507"/>
        <w:gridCol w:w="2507"/>
      </w:tblGrid>
      <w:tr w:rsidR="00537443" w14:paraId="531519A3" w14:textId="77777777" w:rsidTr="00537443">
        <w:trPr>
          <w:trHeight w:val="320"/>
        </w:trPr>
        <w:tc>
          <w:tcPr>
            <w:tcW w:w="2506" w:type="dxa"/>
          </w:tcPr>
          <w:p w14:paraId="461B03EF" w14:textId="18C54A92" w:rsidR="00537443" w:rsidRDefault="00537443" w:rsidP="00537443">
            <w:pPr>
              <w:tabs>
                <w:tab w:val="left" w:pos="1188"/>
              </w:tabs>
              <w:jc w:val="center"/>
            </w:pPr>
            <w:r>
              <w:t>n</w:t>
            </w:r>
          </w:p>
        </w:tc>
        <w:tc>
          <w:tcPr>
            <w:tcW w:w="2506" w:type="dxa"/>
          </w:tcPr>
          <w:p w14:paraId="1572B7ED" w14:textId="63CA7B62" w:rsidR="00537443" w:rsidRDefault="00537443" w:rsidP="00537443">
            <w:pPr>
              <w:tabs>
                <w:tab w:val="left" w:pos="1188"/>
              </w:tabs>
              <w:jc w:val="center"/>
            </w:pPr>
            <w:r>
              <w:t>r</w:t>
            </w:r>
          </w:p>
        </w:tc>
        <w:tc>
          <w:tcPr>
            <w:tcW w:w="2507" w:type="dxa"/>
          </w:tcPr>
          <w:p w14:paraId="6D06B93D" w14:textId="29A7F169" w:rsidR="00537443" w:rsidRDefault="00537443" w:rsidP="00537443">
            <w:pPr>
              <w:tabs>
                <w:tab w:val="left" w:pos="1188"/>
              </w:tabs>
              <w:jc w:val="center"/>
            </w:pPr>
            <w:r w:rsidRPr="00B556DF">
              <w:t>CI95%</w:t>
            </w:r>
          </w:p>
        </w:tc>
        <w:tc>
          <w:tcPr>
            <w:tcW w:w="2507" w:type="dxa"/>
          </w:tcPr>
          <w:p w14:paraId="35FD5791" w14:textId="62839A20" w:rsidR="00537443" w:rsidRDefault="00537443" w:rsidP="00537443">
            <w:pPr>
              <w:tabs>
                <w:tab w:val="left" w:pos="1188"/>
              </w:tabs>
              <w:jc w:val="center"/>
            </w:pPr>
            <w:r w:rsidRPr="00B556DF">
              <w:t>CI95%</w:t>
            </w:r>
          </w:p>
        </w:tc>
      </w:tr>
      <w:tr w:rsidR="00537443" w14:paraId="003ADB4B" w14:textId="77777777" w:rsidTr="00537443">
        <w:trPr>
          <w:trHeight w:val="320"/>
        </w:trPr>
        <w:tc>
          <w:tcPr>
            <w:tcW w:w="2506" w:type="dxa"/>
          </w:tcPr>
          <w:p w14:paraId="6B855263" w14:textId="63D9065F" w:rsidR="00537443" w:rsidRDefault="00537443" w:rsidP="00537443">
            <w:pPr>
              <w:tabs>
                <w:tab w:val="left" w:pos="1188"/>
              </w:tabs>
              <w:jc w:val="center"/>
            </w:pPr>
            <w:r w:rsidRPr="00B556DF">
              <w:t>72</w:t>
            </w:r>
          </w:p>
        </w:tc>
        <w:tc>
          <w:tcPr>
            <w:tcW w:w="2506" w:type="dxa"/>
          </w:tcPr>
          <w:p w14:paraId="74B68770" w14:textId="50B4B654" w:rsidR="00537443" w:rsidRDefault="00537443" w:rsidP="00537443">
            <w:pPr>
              <w:tabs>
                <w:tab w:val="left" w:pos="1188"/>
              </w:tabs>
              <w:jc w:val="center"/>
            </w:pPr>
            <w:r w:rsidRPr="00537443">
              <w:t>0.5</w:t>
            </w:r>
            <w:r>
              <w:t>1</w:t>
            </w:r>
          </w:p>
        </w:tc>
        <w:tc>
          <w:tcPr>
            <w:tcW w:w="2507" w:type="dxa"/>
          </w:tcPr>
          <w:p w14:paraId="1976CE0C" w14:textId="6ADCAFE2" w:rsidR="00537443" w:rsidRDefault="00537443" w:rsidP="00537443">
            <w:pPr>
              <w:tabs>
                <w:tab w:val="left" w:pos="1188"/>
              </w:tabs>
              <w:jc w:val="center"/>
            </w:pPr>
            <w:r w:rsidRPr="00537443">
              <w:t>[0.31, 0.66]</w:t>
            </w:r>
          </w:p>
        </w:tc>
        <w:tc>
          <w:tcPr>
            <w:tcW w:w="2507" w:type="dxa"/>
          </w:tcPr>
          <w:p w14:paraId="7DCB6DA9" w14:textId="66D3E4DD" w:rsidR="00537443" w:rsidRDefault="00537443" w:rsidP="00537443">
            <w:pPr>
              <w:tabs>
                <w:tab w:val="left" w:pos="1188"/>
              </w:tabs>
              <w:jc w:val="center"/>
            </w:pPr>
            <w:r w:rsidRPr="00537443">
              <w:t>0.000006</w:t>
            </w:r>
          </w:p>
        </w:tc>
      </w:tr>
    </w:tbl>
    <w:p w14:paraId="0A54EECE" w14:textId="706E0DF9" w:rsidR="00537443" w:rsidRDefault="00537443" w:rsidP="00D478A1">
      <w:pPr>
        <w:tabs>
          <w:tab w:val="left" w:pos="1188"/>
        </w:tabs>
        <w:jc w:val="both"/>
      </w:pPr>
    </w:p>
    <w:p w14:paraId="7F860FA9" w14:textId="76487476" w:rsidR="0074727B" w:rsidRDefault="0074727B" w:rsidP="0074727B">
      <w:pPr>
        <w:tabs>
          <w:tab w:val="left" w:pos="1188"/>
        </w:tabs>
        <w:jc w:val="both"/>
      </w:pPr>
      <w:r>
        <w:t xml:space="preserve">Korelasyon katsayısı(r) </w:t>
      </w:r>
      <w:r w:rsidRPr="00537443">
        <w:t>0.5</w:t>
      </w:r>
      <w:r>
        <w:t xml:space="preserve">1’e düşmüştür. </w:t>
      </w:r>
      <w:r w:rsidRPr="000C011E">
        <w:t>Positiveness</w:t>
      </w:r>
      <w:r>
        <w:t xml:space="preserve"> ile </w:t>
      </w:r>
      <w:r w:rsidRPr="000C011E">
        <w:t>Danceability</w:t>
      </w:r>
      <w:r>
        <w:t xml:space="preserve"> sütunları arasında korelasyon ciddi olmasa bile, var olduğu ortadadır. Buna göre;</w:t>
      </w:r>
    </w:p>
    <w:p w14:paraId="6D095C06" w14:textId="0A203D88" w:rsidR="0074727B" w:rsidRDefault="0074727B" w:rsidP="0074727B">
      <w:pPr>
        <w:tabs>
          <w:tab w:val="left" w:pos="1188"/>
        </w:tabs>
        <w:jc w:val="both"/>
      </w:pPr>
      <w:r>
        <w:t xml:space="preserve">Şarkıların pozitifliği ve dans edilebilirliği arasında orta seviye ilişki vardır. Bazı şarkıların pozitif olmasına rağmen o şarkının </w:t>
      </w:r>
      <w:r w:rsidRPr="00537443">
        <w:rPr>
          <w:u w:val="single"/>
        </w:rPr>
        <w:t>aynı oranda</w:t>
      </w:r>
      <w:r>
        <w:t xml:space="preserve"> dans edilebilirliği olmalı diye bir kaide </w:t>
      </w:r>
      <w:r w:rsidRPr="005A5CB8">
        <w:rPr>
          <w:u w:val="single"/>
        </w:rPr>
        <w:t>olmadığı</w:t>
      </w:r>
      <w:r>
        <w:t xml:space="preserve"> anlaşılmıştır. </w:t>
      </w:r>
      <w:r w:rsidRPr="000C011E">
        <w:t>Energy</w:t>
      </w:r>
      <w:r>
        <w:t xml:space="preserve">, </w:t>
      </w:r>
      <w:r w:rsidRPr="000C011E">
        <w:t>Danceability</w:t>
      </w:r>
      <w:r>
        <w:t xml:space="preserve"> spearman korelasyon katsayısı(r) </w:t>
      </w:r>
      <w:r w:rsidRPr="000C011E">
        <w:t>0.53</w:t>
      </w:r>
      <w:r>
        <w:t xml:space="preserve">’tür. </w:t>
      </w:r>
      <w:r w:rsidR="00923034">
        <w:t>Kısmi</w:t>
      </w:r>
      <w:r>
        <w:t xml:space="preserve"> korelasyona</w:t>
      </w:r>
      <w:r w:rsidR="00923034">
        <w:t xml:space="preserve"> aşağıdaki</w:t>
      </w:r>
      <w:r>
        <w:t xml:space="preserve"> tabloda korelasyon katsayısı(r);</w:t>
      </w:r>
    </w:p>
    <w:tbl>
      <w:tblPr>
        <w:tblStyle w:val="TableGrid"/>
        <w:tblW w:w="10026" w:type="dxa"/>
        <w:tblInd w:w="-485" w:type="dxa"/>
        <w:tblLook w:val="04A0" w:firstRow="1" w:lastRow="0" w:firstColumn="1" w:lastColumn="0" w:noHBand="0" w:noVBand="1"/>
      </w:tblPr>
      <w:tblGrid>
        <w:gridCol w:w="2506"/>
        <w:gridCol w:w="2506"/>
        <w:gridCol w:w="2507"/>
        <w:gridCol w:w="2507"/>
      </w:tblGrid>
      <w:tr w:rsidR="0074727B" w14:paraId="31BCC165" w14:textId="77777777" w:rsidTr="001F16B3">
        <w:trPr>
          <w:trHeight w:val="320"/>
        </w:trPr>
        <w:tc>
          <w:tcPr>
            <w:tcW w:w="2506" w:type="dxa"/>
          </w:tcPr>
          <w:p w14:paraId="13797C04" w14:textId="77777777" w:rsidR="0074727B" w:rsidRDefault="0074727B" w:rsidP="001F16B3">
            <w:pPr>
              <w:tabs>
                <w:tab w:val="left" w:pos="1188"/>
              </w:tabs>
              <w:jc w:val="center"/>
            </w:pPr>
            <w:r>
              <w:t>n</w:t>
            </w:r>
          </w:p>
        </w:tc>
        <w:tc>
          <w:tcPr>
            <w:tcW w:w="2506" w:type="dxa"/>
          </w:tcPr>
          <w:p w14:paraId="36976239" w14:textId="77777777" w:rsidR="0074727B" w:rsidRDefault="0074727B" w:rsidP="001F16B3">
            <w:pPr>
              <w:tabs>
                <w:tab w:val="left" w:pos="1188"/>
              </w:tabs>
              <w:jc w:val="center"/>
            </w:pPr>
            <w:r>
              <w:t>r</w:t>
            </w:r>
          </w:p>
        </w:tc>
        <w:tc>
          <w:tcPr>
            <w:tcW w:w="2507" w:type="dxa"/>
          </w:tcPr>
          <w:p w14:paraId="689FE418" w14:textId="77777777" w:rsidR="0074727B" w:rsidRDefault="0074727B" w:rsidP="001F16B3">
            <w:pPr>
              <w:tabs>
                <w:tab w:val="left" w:pos="1188"/>
              </w:tabs>
              <w:jc w:val="center"/>
            </w:pPr>
            <w:r w:rsidRPr="00B556DF">
              <w:t>CI95%</w:t>
            </w:r>
          </w:p>
        </w:tc>
        <w:tc>
          <w:tcPr>
            <w:tcW w:w="2507" w:type="dxa"/>
          </w:tcPr>
          <w:p w14:paraId="58FE602F" w14:textId="77777777" w:rsidR="0074727B" w:rsidRDefault="0074727B" w:rsidP="001F16B3">
            <w:pPr>
              <w:tabs>
                <w:tab w:val="left" w:pos="1188"/>
              </w:tabs>
              <w:jc w:val="center"/>
            </w:pPr>
            <w:r w:rsidRPr="00B556DF">
              <w:t>CI95%</w:t>
            </w:r>
          </w:p>
        </w:tc>
      </w:tr>
      <w:tr w:rsidR="0074727B" w14:paraId="0002B0FC" w14:textId="77777777" w:rsidTr="001F16B3">
        <w:trPr>
          <w:trHeight w:val="320"/>
        </w:trPr>
        <w:tc>
          <w:tcPr>
            <w:tcW w:w="2506" w:type="dxa"/>
          </w:tcPr>
          <w:p w14:paraId="3153FCC2" w14:textId="77777777" w:rsidR="0074727B" w:rsidRDefault="0074727B" w:rsidP="001F16B3">
            <w:pPr>
              <w:tabs>
                <w:tab w:val="left" w:pos="1188"/>
              </w:tabs>
              <w:jc w:val="center"/>
            </w:pPr>
            <w:r w:rsidRPr="00B556DF">
              <w:t>72</w:t>
            </w:r>
          </w:p>
        </w:tc>
        <w:tc>
          <w:tcPr>
            <w:tcW w:w="2506" w:type="dxa"/>
          </w:tcPr>
          <w:p w14:paraId="7E1479BC" w14:textId="7ED2B801" w:rsidR="0074727B" w:rsidRDefault="00923034" w:rsidP="001F16B3">
            <w:pPr>
              <w:tabs>
                <w:tab w:val="left" w:pos="1188"/>
              </w:tabs>
              <w:jc w:val="center"/>
            </w:pPr>
            <w:r w:rsidRPr="00923034">
              <w:t>0.095</w:t>
            </w:r>
          </w:p>
        </w:tc>
        <w:tc>
          <w:tcPr>
            <w:tcW w:w="2507" w:type="dxa"/>
          </w:tcPr>
          <w:p w14:paraId="728F2AA3" w14:textId="7826A693" w:rsidR="0074727B" w:rsidRDefault="00923034" w:rsidP="001F16B3">
            <w:pPr>
              <w:tabs>
                <w:tab w:val="left" w:pos="1188"/>
              </w:tabs>
              <w:jc w:val="center"/>
            </w:pPr>
            <w:r w:rsidRPr="00923034">
              <w:t>[-0.14, 0.32]</w:t>
            </w:r>
          </w:p>
        </w:tc>
        <w:tc>
          <w:tcPr>
            <w:tcW w:w="2507" w:type="dxa"/>
          </w:tcPr>
          <w:p w14:paraId="7963AD77" w14:textId="580BEB92" w:rsidR="0074727B" w:rsidRDefault="00923034" w:rsidP="001F16B3">
            <w:pPr>
              <w:tabs>
                <w:tab w:val="left" w:pos="1188"/>
              </w:tabs>
              <w:jc w:val="center"/>
            </w:pPr>
            <w:r w:rsidRPr="00923034">
              <w:t>0.429862</w:t>
            </w:r>
          </w:p>
        </w:tc>
      </w:tr>
    </w:tbl>
    <w:p w14:paraId="7DA1BF09" w14:textId="77777777" w:rsidR="0074727B" w:rsidRDefault="0074727B" w:rsidP="0074727B">
      <w:pPr>
        <w:tabs>
          <w:tab w:val="left" w:pos="1188"/>
        </w:tabs>
        <w:jc w:val="both"/>
      </w:pPr>
    </w:p>
    <w:p w14:paraId="6E9A399B" w14:textId="3A68C2C2" w:rsidR="0074727B" w:rsidRDefault="00923034" w:rsidP="0074727B">
      <w:pPr>
        <w:tabs>
          <w:tab w:val="left" w:pos="1188"/>
        </w:tabs>
        <w:jc w:val="both"/>
      </w:pPr>
      <w:r>
        <w:t xml:space="preserve">Korelasyon katsayısı(r) </w:t>
      </w:r>
      <w:r w:rsidRPr="00537443">
        <w:t>0</w:t>
      </w:r>
      <w:r>
        <w:t xml:space="preserve">.095’e düşmüştür. </w:t>
      </w:r>
      <w:r w:rsidRPr="000C011E">
        <w:t>Energy</w:t>
      </w:r>
      <w:r>
        <w:t xml:space="preserve">, </w:t>
      </w:r>
      <w:r w:rsidRPr="000C011E">
        <w:t>Danceability</w:t>
      </w:r>
      <w:r>
        <w:t xml:space="preserve"> sütunları arasında, çok düşük bir ilişki olduğu, hatta bir ilişkinin olmadığı düşünülebilir. Bir şarkının enerjisi yüksek olduğu takdirde o şarkının dans edilebilirliği, olmayabilir.</w:t>
      </w:r>
    </w:p>
    <w:p w14:paraId="0F20F0FB" w14:textId="608C772D" w:rsidR="0043185F" w:rsidRDefault="0043185F" w:rsidP="0074727B">
      <w:pPr>
        <w:tabs>
          <w:tab w:val="left" w:pos="1188"/>
        </w:tabs>
        <w:jc w:val="both"/>
      </w:pPr>
      <w:r>
        <w:t xml:space="preserve">Spearman Korelasyon katsayıları, karşılaştırması yapılan sütunlar arasında, </w:t>
      </w:r>
      <w:r w:rsidRPr="000C011E">
        <w:t>Energ</w:t>
      </w:r>
      <w:r>
        <w:t xml:space="preserve">y- </w:t>
      </w:r>
      <w:r w:rsidRPr="000C011E">
        <w:t>Danceability</w:t>
      </w:r>
      <w:r>
        <w:t xml:space="preserve"> bağımlı değişkenlerinin ilişkisini, görmezden gelinebileceği saptanmıştır.</w:t>
      </w:r>
      <w:r w:rsidR="007E6E75">
        <w:t xml:space="preserve"> Korelasyon, bağımsız değişkenler arasında, ilişki tespiti amacıyla yapılmıştır.</w:t>
      </w:r>
      <w:r w:rsidR="005A5CB8">
        <w:t xml:space="preserve"> </w:t>
      </w:r>
      <w:r w:rsidR="007E6E75" w:rsidRPr="000C011E">
        <w:t>Positiveness</w:t>
      </w:r>
      <w:r w:rsidR="007E6E75">
        <w:t xml:space="preserve"> bağımlı değişkenin</w:t>
      </w:r>
      <w:r w:rsidR="00447432">
        <w:t>,</w:t>
      </w:r>
      <w:r w:rsidR="007E6E75">
        <w:t xml:space="preserve"> </w:t>
      </w:r>
      <w:r w:rsidR="00447432" w:rsidRPr="003423E7">
        <w:t>Danceabilit</w:t>
      </w:r>
      <w:r w:rsidR="00447432">
        <w:t>y</w:t>
      </w:r>
      <w:r w:rsidR="00447432">
        <w:t xml:space="preserve"> ve </w:t>
      </w:r>
      <w:r w:rsidR="00447432" w:rsidRPr="000C011E">
        <w:t>Energy</w:t>
      </w:r>
      <w:r w:rsidR="00447432">
        <w:t xml:space="preserve"> bağımlı değişkenleriyle, korelasyon katsayıları anlamlı olduğu ve </w:t>
      </w:r>
      <w:r w:rsidR="00447432" w:rsidRPr="000C011E">
        <w:t>Positiveness</w:t>
      </w:r>
      <w:r w:rsidR="00447432">
        <w:t xml:space="preserve"> ile </w:t>
      </w:r>
      <w:r w:rsidR="00447432" w:rsidRPr="003423E7">
        <w:t>Danceabilit</w:t>
      </w:r>
      <w:r w:rsidR="00447432">
        <w:t>y</w:t>
      </w:r>
      <w:r w:rsidR="00447432">
        <w:t xml:space="preserve"> bağımlı </w:t>
      </w:r>
      <w:r w:rsidR="00447432">
        <w:lastRenderedPageBreak/>
        <w:t xml:space="preserve">değişkeni </w:t>
      </w:r>
      <w:r w:rsidR="00447432" w:rsidRPr="000C011E">
        <w:t>Energy</w:t>
      </w:r>
      <w:r w:rsidR="00447432">
        <w:t xml:space="preserve"> bağımlı değişkeni arasında</w:t>
      </w:r>
      <w:r w:rsidR="000876CA">
        <w:t>,</w:t>
      </w:r>
      <w:r w:rsidR="00447432">
        <w:t xml:space="preserve"> regresyon analizi yöntemi </w:t>
      </w:r>
      <w:r w:rsidR="000876CA">
        <w:t>kullanılarak</w:t>
      </w:r>
      <w:r w:rsidR="00447432">
        <w:t xml:space="preserve"> bağımlı değişkenler arasında istatistiksel bağlamda </w:t>
      </w:r>
      <w:r w:rsidR="000876CA">
        <w:t>bağlantıyı, regresyon analizi kullanılarak test edilecektir.</w:t>
      </w:r>
    </w:p>
    <w:p w14:paraId="26455A55" w14:textId="06C8AC40" w:rsidR="000876CA" w:rsidRDefault="000876CA" w:rsidP="0074727B">
      <w:pPr>
        <w:tabs>
          <w:tab w:val="left" w:pos="1188"/>
        </w:tabs>
        <w:jc w:val="both"/>
      </w:pPr>
      <w:r>
        <w:t>Regresyon analizi</w:t>
      </w:r>
      <w:r w:rsidR="00A84000">
        <w:t>,</w:t>
      </w:r>
      <w:r>
        <w:t xml:space="preserve"> </w:t>
      </w:r>
      <w:r w:rsidR="00A84000">
        <w:t xml:space="preserve">bağımsız değişkenlerin bağımlı değişkenlere olan etkilerini, değerlendirir. Normal şartlarda veri setinde bağımsız değişken Country sütunu, </w:t>
      </w:r>
      <w:r w:rsidR="00A84000" w:rsidRPr="000C011E">
        <w:t>Positiveness</w:t>
      </w:r>
      <w:r w:rsidR="008421FB">
        <w:t xml:space="preserve">, </w:t>
      </w:r>
      <w:r w:rsidR="008421FB" w:rsidRPr="000C011E">
        <w:t>Energy</w:t>
      </w:r>
      <w:r w:rsidR="008421FB">
        <w:t>,</w:t>
      </w:r>
      <w:r w:rsidR="008421FB" w:rsidRPr="008421FB">
        <w:t xml:space="preserve"> </w:t>
      </w:r>
      <w:r w:rsidR="008421FB" w:rsidRPr="000C011E">
        <w:t>Danceability</w:t>
      </w:r>
      <w:r w:rsidR="00A84000">
        <w:t xml:space="preserve"> sütun</w:t>
      </w:r>
      <w:r w:rsidR="008421FB">
        <w:t xml:space="preserve">ları </w:t>
      </w:r>
      <w:r w:rsidR="00A84000">
        <w:t>bağımlı değişkendir. Korelasyon testi, bağımli değişkenlerin aralarındaki ilişki varlığı test e</w:t>
      </w:r>
      <w:r w:rsidR="008421FB">
        <w:t>tmiş,</w:t>
      </w:r>
      <w:r w:rsidR="00A84000">
        <w:t xml:space="preserve"> </w:t>
      </w:r>
      <w:r w:rsidR="00A84000" w:rsidRPr="000C011E">
        <w:t>Positiveness</w:t>
      </w:r>
      <w:r w:rsidR="00A84000">
        <w:t xml:space="preserve"> bağımlı değişkeninin üzerindeki, diğer bağımlı değişkenlerin etkileri</w:t>
      </w:r>
      <w:r w:rsidR="008421FB">
        <w:t>ni incelememiştir.</w:t>
      </w:r>
    </w:p>
    <w:p w14:paraId="0285BBBE" w14:textId="05DFBD9A" w:rsidR="002160E3" w:rsidRDefault="002160E3" w:rsidP="0074727B">
      <w:pPr>
        <w:tabs>
          <w:tab w:val="left" w:pos="1188"/>
        </w:tabs>
        <w:jc w:val="both"/>
      </w:pPr>
      <w:r w:rsidRPr="000C011E">
        <w:t>Positiveness</w:t>
      </w:r>
      <w:r>
        <w:t xml:space="preserve"> bağımlı değişkeni, </w:t>
      </w:r>
      <w:r w:rsidRPr="000C011E">
        <w:t>Energy</w:t>
      </w:r>
      <w:r>
        <w:t xml:space="preserve">, </w:t>
      </w:r>
      <w:r w:rsidRPr="000C011E">
        <w:t>Danceability</w:t>
      </w:r>
      <w:r>
        <w:t xml:space="preserve"> bağımlı değişkenlerini etkileyebilir ancak </w:t>
      </w:r>
      <w:r w:rsidRPr="000C011E">
        <w:t>Energy</w:t>
      </w:r>
      <w:r>
        <w:t xml:space="preserve">, </w:t>
      </w:r>
      <w:r w:rsidRPr="000C011E">
        <w:t>Danceability</w:t>
      </w:r>
      <w:r>
        <w:t xml:space="preserve"> bağımlı değişkenleri</w:t>
      </w:r>
      <w:r>
        <w:t xml:space="preserve">, </w:t>
      </w:r>
      <w:r w:rsidRPr="000C011E">
        <w:t>Positiveness</w:t>
      </w:r>
      <w:r>
        <w:t xml:space="preserve"> bağımlı değişkeni</w:t>
      </w:r>
      <w:r>
        <w:t>ni etkilemeyebilir. Buna göre;</w:t>
      </w:r>
    </w:p>
    <w:p w14:paraId="1739359F" w14:textId="76F3854F" w:rsidR="002160E3" w:rsidRDefault="002160E3" w:rsidP="0074727B">
      <w:pPr>
        <w:tabs>
          <w:tab w:val="left" w:pos="1188"/>
        </w:tabs>
        <w:jc w:val="both"/>
      </w:pPr>
      <w:r w:rsidRPr="000C011E">
        <w:t>Positiveness</w:t>
      </w:r>
      <w:r>
        <w:t xml:space="preserve"> bağımlı değişken, </w:t>
      </w:r>
      <w:r w:rsidRPr="000C011E">
        <w:t>Energy</w:t>
      </w:r>
      <w:r>
        <w:t xml:space="preserve">, </w:t>
      </w:r>
      <w:r w:rsidRPr="000C011E">
        <w:t>Danceability</w:t>
      </w:r>
      <w:r>
        <w:t xml:space="preserve"> bağımsız değişken kabul edilir. Bağımsız değişkenlerin bağımlı değişkene olan etkileri için regresyon analizi uygulanır.</w:t>
      </w:r>
    </w:p>
    <w:p w14:paraId="50AC7EA7" w14:textId="05347DB6" w:rsidR="00724445" w:rsidRDefault="00724445" w:rsidP="00724445">
      <w:pPr>
        <w:tabs>
          <w:tab w:val="left" w:pos="1188"/>
        </w:tabs>
        <w:jc w:val="center"/>
      </w:pPr>
      <w:r>
        <w:t>OLS Regression Results</w:t>
      </w:r>
    </w:p>
    <w:p w14:paraId="48024D22" w14:textId="20370138" w:rsidR="00724445" w:rsidRDefault="00724445" w:rsidP="00724445">
      <w:pPr>
        <w:pBdr>
          <w:top w:val="single" w:sz="4" w:space="1" w:color="auto"/>
          <w:left w:val="single" w:sz="4" w:space="4" w:color="auto"/>
          <w:bottom w:val="single" w:sz="4" w:space="1" w:color="auto"/>
          <w:right w:val="single" w:sz="4" w:space="4" w:color="auto"/>
          <w:bar w:val="single" w:sz="4" w:color="auto"/>
        </w:pBdr>
        <w:tabs>
          <w:tab w:val="left" w:pos="1188"/>
        </w:tabs>
        <w:jc w:val="both"/>
      </w:pPr>
      <w:r>
        <w:t xml:space="preserve">Dep. Variable:           Positiveness  </w:t>
      </w:r>
      <w:r>
        <w:t xml:space="preserve">                                                       </w:t>
      </w:r>
      <w:r>
        <w:t xml:space="preserve">R-squared:                      </w:t>
      </w:r>
      <w:r>
        <w:t xml:space="preserve">   </w:t>
      </w:r>
      <w:r>
        <w:t xml:space="preserve"> 0.583</w:t>
      </w:r>
    </w:p>
    <w:p w14:paraId="1B55F05D" w14:textId="53C8D07E" w:rsidR="00724445" w:rsidRDefault="00724445" w:rsidP="00724445">
      <w:pPr>
        <w:pBdr>
          <w:top w:val="single" w:sz="4" w:space="1" w:color="auto"/>
          <w:left w:val="single" w:sz="4" w:space="4" w:color="auto"/>
          <w:bottom w:val="single" w:sz="4" w:space="1" w:color="auto"/>
          <w:right w:val="single" w:sz="4" w:space="4" w:color="auto"/>
          <w:bar w:val="single" w:sz="4" w:color="auto"/>
        </w:pBdr>
        <w:tabs>
          <w:tab w:val="left" w:pos="1188"/>
        </w:tabs>
        <w:jc w:val="both"/>
      </w:pPr>
      <w:r>
        <w:t xml:space="preserve">Model:                            OLS  </w:t>
      </w:r>
      <w:r>
        <w:t xml:space="preserve">                                                                </w:t>
      </w:r>
      <w:r>
        <w:t xml:space="preserve"> </w:t>
      </w:r>
      <w:r>
        <w:t xml:space="preserve"> </w:t>
      </w:r>
      <w:r>
        <w:t>Adj. R-squared:                  0.571</w:t>
      </w:r>
    </w:p>
    <w:p w14:paraId="4AF2DF8C" w14:textId="4165B939" w:rsidR="00724445" w:rsidRDefault="00724445" w:rsidP="00724445">
      <w:pPr>
        <w:pBdr>
          <w:top w:val="single" w:sz="4" w:space="1" w:color="auto"/>
          <w:left w:val="single" w:sz="4" w:space="4" w:color="auto"/>
          <w:bottom w:val="single" w:sz="4" w:space="1" w:color="auto"/>
          <w:right w:val="single" w:sz="4" w:space="4" w:color="auto"/>
          <w:bar w:val="single" w:sz="4" w:color="auto"/>
        </w:pBdr>
        <w:tabs>
          <w:tab w:val="left" w:pos="1188"/>
        </w:tabs>
        <w:jc w:val="both"/>
      </w:pPr>
      <w:r>
        <w:t xml:space="preserve">Method:                </w:t>
      </w:r>
      <w:r>
        <w:t xml:space="preserve">  </w:t>
      </w:r>
      <w:r>
        <w:t xml:space="preserve"> Least Squares   </w:t>
      </w:r>
      <w:r>
        <w:t xml:space="preserve">                                                     </w:t>
      </w:r>
      <w:r>
        <w:t xml:space="preserve">F-statistic:                    </w:t>
      </w:r>
      <w:r>
        <w:t xml:space="preserve">       </w:t>
      </w:r>
      <w:r>
        <w:t xml:space="preserve"> 48.24</w:t>
      </w:r>
    </w:p>
    <w:p w14:paraId="6276EDCD" w14:textId="06C54EB9" w:rsidR="00724445" w:rsidRDefault="00724445" w:rsidP="00724445">
      <w:pPr>
        <w:pBdr>
          <w:top w:val="single" w:sz="4" w:space="1" w:color="auto"/>
          <w:left w:val="single" w:sz="4" w:space="4" w:color="auto"/>
          <w:bottom w:val="single" w:sz="4" w:space="1" w:color="auto"/>
          <w:right w:val="single" w:sz="4" w:space="4" w:color="auto"/>
          <w:bar w:val="single" w:sz="4" w:color="auto"/>
        </w:pBdr>
        <w:tabs>
          <w:tab w:val="left" w:pos="1188"/>
        </w:tabs>
        <w:jc w:val="both"/>
      </w:pPr>
      <w:r>
        <w:t xml:space="preserve">Date:               </w:t>
      </w:r>
      <w:r>
        <w:t xml:space="preserve">      </w:t>
      </w:r>
      <w:r>
        <w:t xml:space="preserve"> Wed, 22 Nov 2023   </w:t>
      </w:r>
      <w:r>
        <w:t xml:space="preserve">                                               </w:t>
      </w:r>
      <w:r>
        <w:t xml:space="preserve">Prob (F-statistic):           </w:t>
      </w:r>
      <w:r>
        <w:t xml:space="preserve">     </w:t>
      </w:r>
      <w:r>
        <w:t>7.84e-14</w:t>
      </w:r>
    </w:p>
    <w:p w14:paraId="078DB98D" w14:textId="7DE17740" w:rsidR="00724445" w:rsidRDefault="00724445" w:rsidP="00724445">
      <w:pPr>
        <w:pBdr>
          <w:top w:val="single" w:sz="4" w:space="1" w:color="auto"/>
          <w:left w:val="single" w:sz="4" w:space="4" w:color="auto"/>
          <w:bottom w:val="single" w:sz="4" w:space="1" w:color="auto"/>
          <w:right w:val="single" w:sz="4" w:space="4" w:color="auto"/>
          <w:bar w:val="single" w:sz="4" w:color="auto"/>
        </w:pBdr>
        <w:tabs>
          <w:tab w:val="left" w:pos="1188"/>
        </w:tabs>
        <w:jc w:val="both"/>
      </w:pPr>
      <w:r>
        <w:t xml:space="preserve">Time:                        </w:t>
      </w:r>
      <w:r>
        <w:t xml:space="preserve">  </w:t>
      </w:r>
      <w:r>
        <w:t xml:space="preserve">13:08:48  </w:t>
      </w:r>
      <w:r>
        <w:t xml:space="preserve">                                                             </w:t>
      </w:r>
      <w:r>
        <w:t xml:space="preserve">Log-Likelihood:                </w:t>
      </w:r>
      <w:r>
        <w:t xml:space="preserve">   </w:t>
      </w:r>
      <w:r>
        <w:t xml:space="preserve"> 124.93</w:t>
      </w:r>
    </w:p>
    <w:p w14:paraId="63141529" w14:textId="40FA386D" w:rsidR="00724445" w:rsidRDefault="00724445" w:rsidP="00724445">
      <w:pPr>
        <w:pBdr>
          <w:top w:val="single" w:sz="4" w:space="1" w:color="auto"/>
          <w:left w:val="single" w:sz="4" w:space="4" w:color="auto"/>
          <w:bottom w:val="single" w:sz="4" w:space="1" w:color="auto"/>
          <w:right w:val="single" w:sz="4" w:space="4" w:color="auto"/>
          <w:bar w:val="single" w:sz="4" w:color="auto"/>
        </w:pBdr>
        <w:tabs>
          <w:tab w:val="left" w:pos="1188"/>
        </w:tabs>
        <w:jc w:val="both"/>
      </w:pPr>
      <w:r>
        <w:t xml:space="preserve">No. Observations:             72   </w:t>
      </w:r>
      <w:r>
        <w:t xml:space="preserve">                                                              </w:t>
      </w:r>
      <w:r>
        <w:t xml:space="preserve">AIC:                           </w:t>
      </w:r>
      <w:r>
        <w:t xml:space="preserve">            </w:t>
      </w:r>
      <w:r>
        <w:t xml:space="preserve"> -243.9</w:t>
      </w:r>
    </w:p>
    <w:p w14:paraId="147CB5EA" w14:textId="03505990" w:rsidR="00724445" w:rsidRDefault="00724445" w:rsidP="00724445">
      <w:pPr>
        <w:pBdr>
          <w:top w:val="single" w:sz="4" w:space="1" w:color="auto"/>
          <w:left w:val="single" w:sz="4" w:space="4" w:color="auto"/>
          <w:bottom w:val="single" w:sz="4" w:space="1" w:color="auto"/>
          <w:right w:val="single" w:sz="4" w:space="4" w:color="auto"/>
          <w:bar w:val="single" w:sz="4" w:color="auto"/>
        </w:pBdr>
        <w:tabs>
          <w:tab w:val="left" w:pos="1188"/>
        </w:tabs>
        <w:jc w:val="both"/>
      </w:pPr>
      <w:r>
        <w:t xml:space="preserve">Df Residuals:                      69   </w:t>
      </w:r>
      <w:r>
        <w:t xml:space="preserve">                                                              </w:t>
      </w:r>
      <w:r>
        <w:t xml:space="preserve">BIC:                            </w:t>
      </w:r>
      <w:r>
        <w:t xml:space="preserve">             </w:t>
      </w:r>
      <w:r>
        <w:t>-237.0</w:t>
      </w:r>
    </w:p>
    <w:p w14:paraId="0F5B9AB1" w14:textId="77777777" w:rsidR="00724445" w:rsidRDefault="00724445" w:rsidP="00724445">
      <w:pPr>
        <w:pBdr>
          <w:top w:val="single" w:sz="4" w:space="1" w:color="auto"/>
          <w:left w:val="single" w:sz="4" w:space="4" w:color="auto"/>
          <w:bottom w:val="single" w:sz="4" w:space="1" w:color="auto"/>
          <w:right w:val="single" w:sz="4" w:space="4" w:color="auto"/>
          <w:bar w:val="single" w:sz="4" w:color="auto"/>
        </w:pBdr>
        <w:tabs>
          <w:tab w:val="left" w:pos="1188"/>
        </w:tabs>
        <w:jc w:val="both"/>
      </w:pPr>
      <w:r>
        <w:t>Df Model:                           2</w:t>
      </w:r>
    </w:p>
    <w:p w14:paraId="72CF593E" w14:textId="76E8DFCE" w:rsidR="005F3073" w:rsidRDefault="00724445" w:rsidP="005F3073">
      <w:pPr>
        <w:pBdr>
          <w:top w:val="single" w:sz="4" w:space="1" w:color="auto"/>
          <w:left w:val="single" w:sz="4" w:space="4" w:color="auto"/>
          <w:bottom w:val="single" w:sz="4" w:space="1" w:color="auto"/>
          <w:right w:val="single" w:sz="4" w:space="4" w:color="auto"/>
          <w:bar w:val="single" w:sz="4" w:color="auto"/>
        </w:pBdr>
        <w:tabs>
          <w:tab w:val="left" w:pos="1188"/>
        </w:tabs>
        <w:jc w:val="both"/>
      </w:pPr>
      <w:r>
        <w:t>Covariance Type:            nonrobust</w:t>
      </w:r>
    </w:p>
    <w:p w14:paraId="24A42D36" w14:textId="77777777" w:rsidR="005F3073" w:rsidRDefault="005F3073" w:rsidP="005F3073">
      <w:pPr>
        <w:tabs>
          <w:tab w:val="left" w:pos="1188"/>
        </w:tabs>
        <w:jc w:val="center"/>
      </w:pPr>
    </w:p>
    <w:p w14:paraId="1DD06068" w14:textId="5EDECE7B" w:rsidR="00724445" w:rsidRDefault="00724445" w:rsidP="005F3073">
      <w:pPr>
        <w:tabs>
          <w:tab w:val="left" w:pos="1188"/>
        </w:tabs>
        <w:jc w:val="center"/>
      </w:pPr>
      <w:r>
        <w:t>coef    std err          t      P&gt;|t|      [0.025      0.975]</w:t>
      </w:r>
    </w:p>
    <w:p w14:paraId="20C9C074" w14:textId="77777777" w:rsidR="005F3073" w:rsidRDefault="005F3073" w:rsidP="005F3073">
      <w:pPr>
        <w:pBdr>
          <w:top w:val="single" w:sz="4" w:space="1" w:color="auto"/>
        </w:pBdr>
        <w:tabs>
          <w:tab w:val="left" w:pos="1188"/>
        </w:tabs>
        <w:jc w:val="both"/>
      </w:pPr>
    </w:p>
    <w:p w14:paraId="0A718F54" w14:textId="1ECF0687" w:rsidR="00724445" w:rsidRDefault="00724445" w:rsidP="005F3073">
      <w:pPr>
        <w:pBdr>
          <w:top w:val="single" w:sz="4" w:space="1" w:color="auto"/>
          <w:left w:val="single" w:sz="4" w:space="4" w:color="auto"/>
          <w:bottom w:val="single" w:sz="4" w:space="1" w:color="auto"/>
          <w:right w:val="single" w:sz="4" w:space="4" w:color="auto"/>
        </w:pBdr>
        <w:tabs>
          <w:tab w:val="left" w:pos="1188"/>
        </w:tabs>
        <w:jc w:val="both"/>
      </w:pPr>
      <w:r>
        <w:t xml:space="preserve">const          </w:t>
      </w:r>
      <w:r w:rsidR="005F3073">
        <w:t xml:space="preserve"> </w:t>
      </w:r>
      <w:r>
        <w:t xml:space="preserve"> </w:t>
      </w:r>
      <w:r w:rsidR="005F3073">
        <w:t xml:space="preserve">   </w:t>
      </w:r>
      <w:r w:rsidR="001B6679">
        <w:tab/>
      </w:r>
      <w:r w:rsidR="001B6679">
        <w:tab/>
      </w:r>
      <w:r>
        <w:t>-0.2344      0.078     -3.004      0.004      -0.390      -0.079</w:t>
      </w:r>
    </w:p>
    <w:p w14:paraId="41943D11" w14:textId="5DF16EA1" w:rsidR="00724445" w:rsidRDefault="00724445" w:rsidP="005F3073">
      <w:pPr>
        <w:pBdr>
          <w:top w:val="single" w:sz="4" w:space="1" w:color="auto"/>
          <w:left w:val="single" w:sz="4" w:space="4" w:color="auto"/>
          <w:bottom w:val="single" w:sz="4" w:space="1" w:color="auto"/>
          <w:right w:val="single" w:sz="4" w:space="4" w:color="auto"/>
        </w:pBdr>
        <w:tabs>
          <w:tab w:val="left" w:pos="1188"/>
        </w:tabs>
        <w:jc w:val="both"/>
      </w:pPr>
      <w:r>
        <w:t xml:space="preserve">Energy          </w:t>
      </w:r>
      <w:r w:rsidR="005F3073">
        <w:t xml:space="preserve">   </w:t>
      </w:r>
      <w:r w:rsidR="001B6679">
        <w:tab/>
      </w:r>
      <w:r w:rsidR="001B6679">
        <w:tab/>
      </w:r>
      <w:r>
        <w:t xml:space="preserve"> 0.6330      0.120      5.276      0.000       0.394       0.872</w:t>
      </w:r>
    </w:p>
    <w:p w14:paraId="6EF78DD0" w14:textId="13FE130B" w:rsidR="00724445" w:rsidRDefault="00724445" w:rsidP="005F3073">
      <w:pPr>
        <w:pBdr>
          <w:top w:val="single" w:sz="4" w:space="1" w:color="auto"/>
          <w:left w:val="single" w:sz="4" w:space="4" w:color="auto"/>
          <w:bottom w:val="single" w:sz="4" w:space="1" w:color="auto"/>
          <w:right w:val="single" w:sz="4" w:space="4" w:color="auto"/>
        </w:pBdr>
        <w:tabs>
          <w:tab w:val="left" w:pos="1188"/>
        </w:tabs>
        <w:jc w:val="both"/>
      </w:pPr>
      <w:r>
        <w:t xml:space="preserve">Danceability     </w:t>
      </w:r>
      <w:r w:rsidR="001B6679">
        <w:tab/>
      </w:r>
      <w:r w:rsidR="001B6679">
        <w:tab/>
        <w:t xml:space="preserve"> </w:t>
      </w:r>
      <w:r>
        <w:t>0.5080      0.103      4.930      0.000       0.302       0.714</w:t>
      </w:r>
    </w:p>
    <w:p w14:paraId="72AD6EE9" w14:textId="77777777" w:rsidR="005F3073" w:rsidRDefault="005F3073" w:rsidP="005F3073">
      <w:pPr>
        <w:pBdr>
          <w:between w:val="single" w:sz="4" w:space="1" w:color="auto"/>
        </w:pBdr>
        <w:tabs>
          <w:tab w:val="left" w:pos="1188"/>
        </w:tabs>
        <w:jc w:val="both"/>
      </w:pPr>
    </w:p>
    <w:p w14:paraId="1E5F2CEB" w14:textId="3B5C4E2F" w:rsidR="00724445" w:rsidRDefault="00724445" w:rsidP="005F3073">
      <w:pPr>
        <w:pBdr>
          <w:top w:val="single" w:sz="4" w:space="1" w:color="auto"/>
          <w:left w:val="single" w:sz="4" w:space="4" w:color="auto"/>
          <w:bottom w:val="single" w:sz="4" w:space="1" w:color="auto"/>
          <w:right w:val="single" w:sz="4" w:space="4" w:color="auto"/>
        </w:pBdr>
        <w:tabs>
          <w:tab w:val="left" w:pos="1188"/>
        </w:tabs>
        <w:jc w:val="both"/>
      </w:pPr>
      <w:r>
        <w:t xml:space="preserve">Omnibus:                        8.811  </w:t>
      </w:r>
      <w:r w:rsidR="005F3073">
        <w:t xml:space="preserve">                                                            </w:t>
      </w:r>
      <w:r>
        <w:t xml:space="preserve"> Durbin-Watson:                  2.385</w:t>
      </w:r>
    </w:p>
    <w:p w14:paraId="444AE32D" w14:textId="3D2DB61A" w:rsidR="00724445" w:rsidRDefault="00724445" w:rsidP="005F3073">
      <w:pPr>
        <w:pBdr>
          <w:top w:val="single" w:sz="4" w:space="1" w:color="auto"/>
          <w:left w:val="single" w:sz="4" w:space="4" w:color="auto"/>
          <w:bottom w:val="single" w:sz="4" w:space="1" w:color="auto"/>
          <w:right w:val="single" w:sz="4" w:space="4" w:color="auto"/>
        </w:pBdr>
        <w:tabs>
          <w:tab w:val="left" w:pos="1188"/>
        </w:tabs>
        <w:jc w:val="both"/>
      </w:pPr>
      <w:r>
        <w:t xml:space="preserve">Prob(Omnibus):             0.012  </w:t>
      </w:r>
      <w:r w:rsidR="005F3073">
        <w:t xml:space="preserve">                                                            </w:t>
      </w:r>
      <w:r>
        <w:t xml:space="preserve"> Jarque-Bera (JB):                8.336</w:t>
      </w:r>
    </w:p>
    <w:p w14:paraId="07FA0AD8" w14:textId="7B02F41F" w:rsidR="00724445" w:rsidRDefault="00724445" w:rsidP="005F3073">
      <w:pPr>
        <w:pBdr>
          <w:top w:val="single" w:sz="4" w:space="1" w:color="auto"/>
          <w:left w:val="single" w:sz="4" w:space="4" w:color="auto"/>
          <w:bottom w:val="single" w:sz="4" w:space="1" w:color="auto"/>
          <w:right w:val="single" w:sz="4" w:space="4" w:color="auto"/>
        </w:pBdr>
        <w:tabs>
          <w:tab w:val="left" w:pos="1188"/>
        </w:tabs>
        <w:jc w:val="both"/>
      </w:pPr>
      <w:r>
        <w:t xml:space="preserve">Skew:                           </w:t>
      </w:r>
      <w:r w:rsidR="005F3073">
        <w:t xml:space="preserve">    </w:t>
      </w:r>
      <w:r>
        <w:t xml:space="preserve">0.769   </w:t>
      </w:r>
      <w:r w:rsidR="005F3073">
        <w:t xml:space="preserve">                                                            </w:t>
      </w:r>
      <w:r>
        <w:t xml:space="preserve">Prob(JB):                       </w:t>
      </w:r>
      <w:r w:rsidR="005F3073">
        <w:t xml:space="preserve">       </w:t>
      </w:r>
      <w:r>
        <w:t>0.0155</w:t>
      </w:r>
    </w:p>
    <w:p w14:paraId="1E7EBD9D" w14:textId="6CB5DB80" w:rsidR="00724445" w:rsidRDefault="00724445" w:rsidP="005F3073">
      <w:pPr>
        <w:pBdr>
          <w:top w:val="single" w:sz="4" w:space="1" w:color="auto"/>
          <w:left w:val="single" w:sz="4" w:space="4" w:color="auto"/>
          <w:bottom w:val="single" w:sz="4" w:space="1" w:color="auto"/>
          <w:right w:val="single" w:sz="4" w:space="4" w:color="auto"/>
        </w:pBdr>
        <w:tabs>
          <w:tab w:val="left" w:pos="1188"/>
        </w:tabs>
        <w:jc w:val="both"/>
      </w:pPr>
      <w:r>
        <w:t xml:space="preserve">Kurtosis:                       </w:t>
      </w:r>
      <w:r w:rsidR="005F3073">
        <w:t xml:space="preserve">   </w:t>
      </w:r>
      <w:r>
        <w:t xml:space="preserve">3.641   </w:t>
      </w:r>
      <w:r w:rsidR="005F3073">
        <w:t xml:space="preserve">                                                            </w:t>
      </w:r>
      <w:r>
        <w:t xml:space="preserve">Cond. No.                        </w:t>
      </w:r>
      <w:r w:rsidR="005F3073">
        <w:t xml:space="preserve">   </w:t>
      </w:r>
      <w:r>
        <w:t xml:space="preserve"> 37.1</w:t>
      </w:r>
    </w:p>
    <w:p w14:paraId="531EC0B0" w14:textId="0DFC7E43" w:rsidR="00003491" w:rsidRDefault="00003491" w:rsidP="0074727B">
      <w:pPr>
        <w:tabs>
          <w:tab w:val="left" w:pos="1188"/>
        </w:tabs>
        <w:jc w:val="both"/>
      </w:pPr>
    </w:p>
    <w:p w14:paraId="36CD7801" w14:textId="77777777" w:rsidR="00135797" w:rsidRDefault="00135797" w:rsidP="0074727B">
      <w:pPr>
        <w:tabs>
          <w:tab w:val="left" w:pos="1188"/>
        </w:tabs>
        <w:jc w:val="both"/>
      </w:pPr>
    </w:p>
    <w:p w14:paraId="1D291B08" w14:textId="292E531F" w:rsidR="00135797" w:rsidRDefault="001B6679" w:rsidP="0074727B">
      <w:pPr>
        <w:tabs>
          <w:tab w:val="left" w:pos="1188"/>
        </w:tabs>
        <w:jc w:val="both"/>
      </w:pPr>
      <w:r w:rsidRPr="001B6679">
        <w:lastRenderedPageBreak/>
        <w:t>Adj. R-squared</w:t>
      </w:r>
      <w:r>
        <w:t xml:space="preserve">: </w:t>
      </w:r>
      <w:r>
        <w:t>0.571</w:t>
      </w:r>
      <w:r>
        <w:t>, kurulan regresyon modeline göre, bağımlı değişkenlerle bağımsız değişkenlerin arasındaki etkilenme oranı, dikkate değer bir oran olarak gözükmüyor.</w:t>
      </w:r>
    </w:p>
    <w:p w14:paraId="7ED595E9" w14:textId="15364FEC" w:rsidR="001B6679" w:rsidRDefault="001B6679" w:rsidP="0074727B">
      <w:pPr>
        <w:tabs>
          <w:tab w:val="left" w:pos="1188"/>
        </w:tabs>
        <w:jc w:val="both"/>
      </w:pPr>
      <w:r w:rsidRPr="001B6679">
        <w:t>P&gt;|t</w:t>
      </w:r>
      <w:r>
        <w:t>|: Bütün bağımsız değişkenler 0.05’ten küçük olduğu için model anlamlı sonuç vermiştir.</w:t>
      </w:r>
    </w:p>
    <w:p w14:paraId="7990E2CD" w14:textId="07656039" w:rsidR="001B6679" w:rsidRDefault="001B6679" w:rsidP="0074727B">
      <w:pPr>
        <w:tabs>
          <w:tab w:val="left" w:pos="1188"/>
        </w:tabs>
        <w:jc w:val="both"/>
      </w:pPr>
      <w:r>
        <w:t xml:space="preserve">H1 hipotezi, </w:t>
      </w:r>
      <w:r>
        <w:t xml:space="preserve">Positiveness </w:t>
      </w:r>
      <w:r>
        <w:t xml:space="preserve">bağımlı değişken ile </w:t>
      </w:r>
      <w:r w:rsidR="000150B4">
        <w:t>Danceability</w:t>
      </w:r>
      <w:r w:rsidR="000150B4">
        <w:t>,</w:t>
      </w:r>
      <w:r w:rsidR="000150B4" w:rsidRPr="000150B4">
        <w:t xml:space="preserve"> </w:t>
      </w:r>
      <w:r w:rsidR="000150B4">
        <w:t>Energy</w:t>
      </w:r>
      <w:r w:rsidR="000150B4">
        <w:t xml:space="preserve"> </w:t>
      </w:r>
      <w:r>
        <w:t>bağımlı değişkenler</w:t>
      </w:r>
      <w:r w:rsidR="000150B4">
        <w:t>i</w:t>
      </w:r>
      <w:r>
        <w:t xml:space="preserve"> arasında bir ilişki vardır.</w:t>
      </w:r>
      <w:r w:rsidR="000150B4">
        <w:t xml:space="preserve"> </w:t>
      </w:r>
      <w:r w:rsidR="000150B4" w:rsidRPr="000150B4">
        <w:t>Prob (F-statistic): 7.84e-14</w:t>
      </w:r>
      <w:r w:rsidR="000150B4">
        <w:t xml:space="preserve"> &lt;0.05 olduğu için H1 hipotezi kabul edilir.</w:t>
      </w:r>
    </w:p>
    <w:p w14:paraId="040EC67A" w14:textId="2C948341" w:rsidR="0074727B" w:rsidRDefault="000150B4" w:rsidP="00D478A1">
      <w:pPr>
        <w:tabs>
          <w:tab w:val="left" w:pos="1188"/>
        </w:tabs>
        <w:jc w:val="both"/>
      </w:pPr>
      <w:r>
        <w:t>Positiveness</w:t>
      </w:r>
      <w:r>
        <w:t xml:space="preserve">, </w:t>
      </w:r>
      <w:r>
        <w:t>Danceability,</w:t>
      </w:r>
      <w:r w:rsidRPr="000150B4">
        <w:t xml:space="preserve"> </w:t>
      </w:r>
      <w:r>
        <w:t>Energy</w:t>
      </w:r>
      <w:r>
        <w:t xml:space="preserve"> bağımlı değişkenlerinin</w:t>
      </w:r>
      <w:r w:rsidR="00691B73">
        <w:t xml:space="preserve"> arasında çok kuvvetli ilişki bulunmadığından </w:t>
      </w:r>
      <w:r w:rsidR="00691B73">
        <w:t>Danceability</w:t>
      </w:r>
      <w:r w:rsidR="00691B73">
        <w:t xml:space="preserve">, </w:t>
      </w:r>
      <w:r w:rsidR="00691B73">
        <w:t>Energy</w:t>
      </w:r>
      <w:r w:rsidR="00691B73">
        <w:t xml:space="preserve"> sütunlarını kaldırıyoruz ve ülkelerin pozitifliklerine göre sıralama yapıldığında;</w:t>
      </w:r>
    </w:p>
    <w:p w14:paraId="7EAD6A73" w14:textId="77777777" w:rsidR="00C62026" w:rsidRPr="00C62026" w:rsidRDefault="00C62026" w:rsidP="00C62026">
      <w:pPr>
        <w:tabs>
          <w:tab w:val="left" w:pos="1188"/>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20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Ülke              Pozitiflik</w:t>
      </w:r>
    </w:p>
    <w:p w14:paraId="5DD9A9F9" w14:textId="77777777" w:rsidR="00C62026" w:rsidRDefault="00C62026" w:rsidP="009D3402">
      <w:pPr>
        <w:pStyle w:val="ListParagraph"/>
        <w:numPr>
          <w:ilvl w:val="0"/>
          <w:numId w:val="2"/>
        </w:numPr>
        <w:tabs>
          <w:tab w:val="left" w:pos="1188"/>
        </w:tabs>
        <w:jc w:val="center"/>
      </w:pPr>
      <w:r>
        <w:t>Arjantin          0.652840</w:t>
      </w:r>
    </w:p>
    <w:p w14:paraId="025A9A64" w14:textId="77777777" w:rsidR="00C62026" w:rsidRDefault="00C62026" w:rsidP="009D3402">
      <w:pPr>
        <w:pStyle w:val="ListParagraph"/>
        <w:numPr>
          <w:ilvl w:val="0"/>
          <w:numId w:val="2"/>
        </w:numPr>
        <w:tabs>
          <w:tab w:val="left" w:pos="1188"/>
        </w:tabs>
        <w:jc w:val="center"/>
      </w:pPr>
      <w:r>
        <w:t>Bulgaristan       0.603460</w:t>
      </w:r>
    </w:p>
    <w:p w14:paraId="68E19524" w14:textId="44CDD92D" w:rsidR="00C62026" w:rsidRDefault="00C62026" w:rsidP="009D3402">
      <w:pPr>
        <w:pStyle w:val="ListParagraph"/>
        <w:numPr>
          <w:ilvl w:val="0"/>
          <w:numId w:val="2"/>
        </w:numPr>
        <w:tabs>
          <w:tab w:val="left" w:pos="1188"/>
        </w:tabs>
        <w:jc w:val="center"/>
      </w:pPr>
      <w:r>
        <w:t xml:space="preserve">Brezilya          </w:t>
      </w:r>
      <w:r>
        <w:t xml:space="preserve">   </w:t>
      </w:r>
      <w:r>
        <w:t>0.659000</w:t>
      </w:r>
    </w:p>
    <w:p w14:paraId="3123635E" w14:textId="225DBB83" w:rsidR="00C62026" w:rsidRDefault="00C62026" w:rsidP="009D3402">
      <w:pPr>
        <w:pStyle w:val="ListParagraph"/>
        <w:numPr>
          <w:ilvl w:val="0"/>
          <w:numId w:val="2"/>
        </w:numPr>
        <w:tabs>
          <w:tab w:val="left" w:pos="1188"/>
        </w:tabs>
        <w:jc w:val="center"/>
      </w:pPr>
      <w:r>
        <w:t xml:space="preserve">Şili              </w:t>
      </w:r>
      <w:r>
        <w:t xml:space="preserve">      </w:t>
      </w:r>
      <w:r>
        <w:t>0.636760</w:t>
      </w:r>
    </w:p>
    <w:p w14:paraId="35A7DD19" w14:textId="77777777" w:rsidR="00C62026" w:rsidRDefault="00C62026" w:rsidP="009D3402">
      <w:pPr>
        <w:pStyle w:val="ListParagraph"/>
        <w:numPr>
          <w:ilvl w:val="0"/>
          <w:numId w:val="2"/>
        </w:numPr>
        <w:tabs>
          <w:tab w:val="left" w:pos="1188"/>
        </w:tabs>
        <w:jc w:val="center"/>
      </w:pPr>
      <w:r>
        <w:t>Kolombiya         0.610620</w:t>
      </w:r>
    </w:p>
    <w:p w14:paraId="03D9DAA8" w14:textId="77777777" w:rsidR="00C62026" w:rsidRDefault="00C62026" w:rsidP="009D3402">
      <w:pPr>
        <w:pStyle w:val="ListParagraph"/>
        <w:numPr>
          <w:ilvl w:val="0"/>
          <w:numId w:val="2"/>
        </w:numPr>
        <w:tabs>
          <w:tab w:val="left" w:pos="1188"/>
        </w:tabs>
        <w:jc w:val="center"/>
      </w:pPr>
      <w:r>
        <w:t>Kosta Rika        0.536262</w:t>
      </w:r>
    </w:p>
    <w:p w14:paraId="57A618F3" w14:textId="77777777" w:rsidR="00C62026" w:rsidRDefault="00C62026" w:rsidP="009D3402">
      <w:pPr>
        <w:pStyle w:val="ListParagraph"/>
        <w:numPr>
          <w:ilvl w:val="0"/>
          <w:numId w:val="2"/>
        </w:numPr>
        <w:tabs>
          <w:tab w:val="left" w:pos="1188"/>
        </w:tabs>
        <w:jc w:val="center"/>
      </w:pPr>
      <w:r>
        <w:t>Danimarka         0.591280</w:t>
      </w:r>
    </w:p>
    <w:p w14:paraId="1A180BC7" w14:textId="77777777" w:rsidR="00C62026" w:rsidRDefault="00C62026" w:rsidP="009D3402">
      <w:pPr>
        <w:pStyle w:val="ListParagraph"/>
        <w:numPr>
          <w:ilvl w:val="0"/>
          <w:numId w:val="2"/>
        </w:numPr>
        <w:tabs>
          <w:tab w:val="left" w:pos="1188"/>
        </w:tabs>
        <w:jc w:val="center"/>
      </w:pPr>
      <w:r>
        <w:t>Ekvador           0.609240</w:t>
      </w:r>
    </w:p>
    <w:p w14:paraId="2788A18B" w14:textId="77777777" w:rsidR="00C62026" w:rsidRDefault="00C62026" w:rsidP="009D3402">
      <w:pPr>
        <w:pStyle w:val="ListParagraph"/>
        <w:numPr>
          <w:ilvl w:val="0"/>
          <w:numId w:val="2"/>
        </w:numPr>
        <w:tabs>
          <w:tab w:val="left" w:pos="1188"/>
        </w:tabs>
        <w:jc w:val="center"/>
      </w:pPr>
      <w:r>
        <w:t>Mısır             0.619720</w:t>
      </w:r>
    </w:p>
    <w:p w14:paraId="3FAA1994" w14:textId="77777777" w:rsidR="00C62026" w:rsidRDefault="00C62026" w:rsidP="009D3402">
      <w:pPr>
        <w:pStyle w:val="ListParagraph"/>
        <w:numPr>
          <w:ilvl w:val="0"/>
          <w:numId w:val="2"/>
        </w:numPr>
        <w:tabs>
          <w:tab w:val="left" w:pos="1188"/>
        </w:tabs>
        <w:jc w:val="center"/>
      </w:pPr>
      <w:r>
        <w:t>İspanya           0.576800</w:t>
      </w:r>
    </w:p>
    <w:p w14:paraId="7BA41290" w14:textId="77777777" w:rsidR="00C62026" w:rsidRDefault="00C62026" w:rsidP="009D3402">
      <w:pPr>
        <w:pStyle w:val="ListParagraph"/>
        <w:numPr>
          <w:ilvl w:val="0"/>
          <w:numId w:val="2"/>
        </w:numPr>
        <w:tabs>
          <w:tab w:val="left" w:pos="1188"/>
        </w:tabs>
        <w:jc w:val="center"/>
      </w:pPr>
      <w:r>
        <w:t>Finlandiya        0.578450</w:t>
      </w:r>
    </w:p>
    <w:p w14:paraId="6069094F" w14:textId="77777777" w:rsidR="00C62026" w:rsidRDefault="00C62026" w:rsidP="009D3402">
      <w:pPr>
        <w:pStyle w:val="ListParagraph"/>
        <w:numPr>
          <w:ilvl w:val="0"/>
          <w:numId w:val="2"/>
        </w:numPr>
        <w:tabs>
          <w:tab w:val="left" w:pos="1188"/>
        </w:tabs>
        <w:jc w:val="center"/>
      </w:pPr>
      <w:r>
        <w:t>Fransa            0.547638</w:t>
      </w:r>
    </w:p>
    <w:p w14:paraId="3897043A" w14:textId="77777777" w:rsidR="00C62026" w:rsidRDefault="00C62026" w:rsidP="009D3402">
      <w:pPr>
        <w:pStyle w:val="ListParagraph"/>
        <w:numPr>
          <w:ilvl w:val="0"/>
          <w:numId w:val="2"/>
        </w:numPr>
        <w:tabs>
          <w:tab w:val="left" w:pos="1188"/>
        </w:tabs>
        <w:jc w:val="center"/>
      </w:pPr>
      <w:r>
        <w:t>Guatemala         0.634520</w:t>
      </w:r>
    </w:p>
    <w:p w14:paraId="1489E776" w14:textId="77777777" w:rsidR="00C62026" w:rsidRDefault="00C62026" w:rsidP="009D3402">
      <w:pPr>
        <w:pStyle w:val="ListParagraph"/>
        <w:numPr>
          <w:ilvl w:val="0"/>
          <w:numId w:val="2"/>
        </w:numPr>
        <w:tabs>
          <w:tab w:val="left" w:pos="1188"/>
        </w:tabs>
        <w:jc w:val="center"/>
      </w:pPr>
      <w:r>
        <w:t>Honduras          0.561462</w:t>
      </w:r>
    </w:p>
    <w:p w14:paraId="09814ACD" w14:textId="77777777" w:rsidR="00C62026" w:rsidRDefault="00C62026" w:rsidP="009D3402">
      <w:pPr>
        <w:pStyle w:val="ListParagraph"/>
        <w:numPr>
          <w:ilvl w:val="0"/>
          <w:numId w:val="2"/>
        </w:numPr>
        <w:tabs>
          <w:tab w:val="left" w:pos="1188"/>
        </w:tabs>
        <w:jc w:val="center"/>
      </w:pPr>
      <w:r>
        <w:t>Japonya           0.631960</w:t>
      </w:r>
    </w:p>
    <w:p w14:paraId="401F3F0A" w14:textId="77777777" w:rsidR="00C62026" w:rsidRDefault="00C62026" w:rsidP="009D3402">
      <w:pPr>
        <w:pStyle w:val="ListParagraph"/>
        <w:numPr>
          <w:ilvl w:val="0"/>
          <w:numId w:val="2"/>
        </w:numPr>
        <w:tabs>
          <w:tab w:val="left" w:pos="1188"/>
        </w:tabs>
        <w:jc w:val="center"/>
      </w:pPr>
      <w:r>
        <w:t>Fas               0.549480</w:t>
      </w:r>
    </w:p>
    <w:p w14:paraId="09C22EB0" w14:textId="77777777" w:rsidR="00C62026" w:rsidRDefault="00C62026" w:rsidP="009D3402">
      <w:pPr>
        <w:pStyle w:val="ListParagraph"/>
        <w:numPr>
          <w:ilvl w:val="0"/>
          <w:numId w:val="2"/>
        </w:numPr>
        <w:tabs>
          <w:tab w:val="left" w:pos="1188"/>
        </w:tabs>
        <w:jc w:val="center"/>
      </w:pPr>
      <w:r>
        <w:t>Meksika           0.719740</w:t>
      </w:r>
    </w:p>
    <w:p w14:paraId="7985D76C" w14:textId="77777777" w:rsidR="00C62026" w:rsidRDefault="00C62026" w:rsidP="009D3402">
      <w:pPr>
        <w:pStyle w:val="ListParagraph"/>
        <w:numPr>
          <w:ilvl w:val="0"/>
          <w:numId w:val="2"/>
        </w:numPr>
        <w:tabs>
          <w:tab w:val="left" w:pos="1188"/>
        </w:tabs>
        <w:jc w:val="center"/>
      </w:pPr>
      <w:r>
        <w:t>Nijerya           0.628830</w:t>
      </w:r>
    </w:p>
    <w:p w14:paraId="1EA64100" w14:textId="77777777" w:rsidR="00C62026" w:rsidRDefault="00C62026" w:rsidP="009D3402">
      <w:pPr>
        <w:pStyle w:val="ListParagraph"/>
        <w:numPr>
          <w:ilvl w:val="0"/>
          <w:numId w:val="2"/>
        </w:numPr>
        <w:tabs>
          <w:tab w:val="left" w:pos="1188"/>
        </w:tabs>
        <w:jc w:val="center"/>
      </w:pPr>
      <w:r>
        <w:t>Nikaragua         0.586700</w:t>
      </w:r>
    </w:p>
    <w:p w14:paraId="6B184CBA" w14:textId="77777777" w:rsidR="00C62026" w:rsidRDefault="00C62026" w:rsidP="009D3402">
      <w:pPr>
        <w:pStyle w:val="ListParagraph"/>
        <w:numPr>
          <w:ilvl w:val="0"/>
          <w:numId w:val="2"/>
        </w:numPr>
        <w:tabs>
          <w:tab w:val="left" w:pos="1188"/>
        </w:tabs>
        <w:jc w:val="center"/>
      </w:pPr>
      <w:r>
        <w:t>Pakistan          0.562360</w:t>
      </w:r>
    </w:p>
    <w:p w14:paraId="1E447076" w14:textId="77777777" w:rsidR="00C62026" w:rsidRDefault="00C62026" w:rsidP="009D3402">
      <w:pPr>
        <w:pStyle w:val="ListParagraph"/>
        <w:numPr>
          <w:ilvl w:val="0"/>
          <w:numId w:val="2"/>
        </w:numPr>
        <w:tabs>
          <w:tab w:val="left" w:pos="1188"/>
        </w:tabs>
        <w:jc w:val="center"/>
      </w:pPr>
      <w:r>
        <w:t>Panama            0.556742</w:t>
      </w:r>
    </w:p>
    <w:p w14:paraId="429B2021" w14:textId="77777777" w:rsidR="00C62026" w:rsidRDefault="00C62026" w:rsidP="009D3402">
      <w:pPr>
        <w:pStyle w:val="ListParagraph"/>
        <w:numPr>
          <w:ilvl w:val="0"/>
          <w:numId w:val="2"/>
        </w:numPr>
        <w:tabs>
          <w:tab w:val="left" w:pos="1188"/>
        </w:tabs>
        <w:jc w:val="center"/>
      </w:pPr>
      <w:r>
        <w:t>Peru              0.621380</w:t>
      </w:r>
    </w:p>
    <w:p w14:paraId="542C73D8" w14:textId="77777777" w:rsidR="00C62026" w:rsidRDefault="00C62026" w:rsidP="009D3402">
      <w:pPr>
        <w:pStyle w:val="ListParagraph"/>
        <w:numPr>
          <w:ilvl w:val="0"/>
          <w:numId w:val="2"/>
        </w:numPr>
        <w:tabs>
          <w:tab w:val="left" w:pos="1188"/>
        </w:tabs>
        <w:jc w:val="center"/>
      </w:pPr>
      <w:r>
        <w:t>Paraguay          0.608720</w:t>
      </w:r>
    </w:p>
    <w:p w14:paraId="486507D9" w14:textId="77777777" w:rsidR="00C62026" w:rsidRDefault="00C62026" w:rsidP="009D3402">
      <w:pPr>
        <w:pStyle w:val="ListParagraph"/>
        <w:numPr>
          <w:ilvl w:val="0"/>
          <w:numId w:val="2"/>
        </w:numPr>
        <w:tabs>
          <w:tab w:val="left" w:pos="1188"/>
        </w:tabs>
        <w:jc w:val="center"/>
      </w:pPr>
      <w:r>
        <w:t>Romanya           0.568902</w:t>
      </w:r>
    </w:p>
    <w:p w14:paraId="66EAFCA0" w14:textId="77777777" w:rsidR="00C62026" w:rsidRDefault="00C62026" w:rsidP="009D3402">
      <w:pPr>
        <w:pStyle w:val="ListParagraph"/>
        <w:numPr>
          <w:ilvl w:val="0"/>
          <w:numId w:val="2"/>
        </w:numPr>
        <w:tabs>
          <w:tab w:val="left" w:pos="1188"/>
        </w:tabs>
        <w:jc w:val="center"/>
      </w:pPr>
      <w:r>
        <w:t>El Salvador       0.571860</w:t>
      </w:r>
    </w:p>
    <w:p w14:paraId="5FEA7C6F" w14:textId="77777777" w:rsidR="00C62026" w:rsidRDefault="00C62026" w:rsidP="009D3402">
      <w:pPr>
        <w:pStyle w:val="ListParagraph"/>
        <w:numPr>
          <w:ilvl w:val="0"/>
          <w:numId w:val="2"/>
        </w:numPr>
        <w:tabs>
          <w:tab w:val="left" w:pos="1188"/>
        </w:tabs>
        <w:jc w:val="center"/>
      </w:pPr>
      <w:r>
        <w:t>Uruguay           0.664000</w:t>
      </w:r>
    </w:p>
    <w:p w14:paraId="6F9C55C2" w14:textId="41B4A742" w:rsidR="00C62026" w:rsidRDefault="00C62026" w:rsidP="009D3402">
      <w:pPr>
        <w:pStyle w:val="ListParagraph"/>
        <w:numPr>
          <w:ilvl w:val="0"/>
          <w:numId w:val="2"/>
        </w:numPr>
        <w:tabs>
          <w:tab w:val="left" w:pos="1188"/>
        </w:tabs>
        <w:jc w:val="center"/>
      </w:pPr>
      <w:r>
        <w:t>Venezuela         0.547942</w:t>
      </w:r>
    </w:p>
    <w:p w14:paraId="3AF83A61" w14:textId="77777777" w:rsidR="009D3402" w:rsidRDefault="009D3402" w:rsidP="00C62026">
      <w:pPr>
        <w:tabs>
          <w:tab w:val="left" w:pos="1188"/>
        </w:tabs>
      </w:pPr>
    </w:p>
    <w:p w14:paraId="6AE44F33" w14:textId="77777777" w:rsidR="009D3402" w:rsidRDefault="009D3402" w:rsidP="00C62026">
      <w:pPr>
        <w:tabs>
          <w:tab w:val="left" w:pos="1188"/>
        </w:tabs>
      </w:pPr>
    </w:p>
    <w:p w14:paraId="6A2325E4" w14:textId="77777777" w:rsidR="009D3402" w:rsidRDefault="009D3402" w:rsidP="00C62026">
      <w:pPr>
        <w:tabs>
          <w:tab w:val="left" w:pos="1188"/>
        </w:tabs>
      </w:pPr>
    </w:p>
    <w:p w14:paraId="203386BC" w14:textId="53BF3A0F" w:rsidR="00C62026" w:rsidRDefault="00C62026" w:rsidP="00C62026">
      <w:pPr>
        <w:tabs>
          <w:tab w:val="left" w:pos="1188"/>
        </w:tabs>
      </w:pPr>
      <w:r>
        <w:t>Yukarıdaki ülkeler ortalamanın üzerinde genel manada pozitif şarkı dinleyen ülkelerdir. Aşağıda yer alan ülkeler ortalama ve ortalamanın aşağısında daha depresif hüzünlü şarkılar dinleyen ülkeler sırasıyla;</w:t>
      </w:r>
    </w:p>
    <w:p w14:paraId="72E12064" w14:textId="77777777" w:rsidR="009D3402" w:rsidRDefault="009D3402" w:rsidP="009D3402">
      <w:pPr>
        <w:tabs>
          <w:tab w:val="left" w:pos="1188"/>
        </w:tabs>
        <w:jc w:val="center"/>
      </w:pPr>
    </w:p>
    <w:p w14:paraId="61837142" w14:textId="77777777" w:rsidR="009D3402" w:rsidRDefault="009D3402" w:rsidP="009D3402">
      <w:pPr>
        <w:tabs>
          <w:tab w:val="left" w:pos="1188"/>
        </w:tabs>
      </w:pPr>
    </w:p>
    <w:p w14:paraId="2E279551" w14:textId="1DF0C143" w:rsidR="009D3402" w:rsidRPr="009D3402" w:rsidRDefault="009D3402" w:rsidP="009D3402">
      <w:pPr>
        <w:pBdr>
          <w:between w:val="single" w:sz="4" w:space="1" w:color="auto"/>
        </w:pBdr>
        <w:tabs>
          <w:tab w:val="left" w:pos="1188"/>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340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Ülke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340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Pozitiflik</w:t>
      </w:r>
    </w:p>
    <w:p w14:paraId="3F98236F" w14:textId="60EBA182" w:rsidR="009D3402" w:rsidRDefault="009D3402" w:rsidP="009D3402">
      <w:pPr>
        <w:pStyle w:val="ListParagraph"/>
        <w:numPr>
          <w:ilvl w:val="0"/>
          <w:numId w:val="10"/>
        </w:numPr>
        <w:tabs>
          <w:tab w:val="left" w:pos="1188"/>
        </w:tabs>
        <w:jc w:val="center"/>
      </w:pPr>
      <w:r>
        <w:t>Litvanya             0.527340</w:t>
      </w:r>
    </w:p>
    <w:p w14:paraId="4A943F73" w14:textId="77777777" w:rsidR="009D3402" w:rsidRDefault="009D3402" w:rsidP="009D3402">
      <w:pPr>
        <w:pStyle w:val="ListParagraph"/>
        <w:numPr>
          <w:ilvl w:val="0"/>
          <w:numId w:val="10"/>
        </w:numPr>
        <w:tabs>
          <w:tab w:val="left" w:pos="1188"/>
        </w:tabs>
        <w:jc w:val="center"/>
      </w:pPr>
      <w:r>
        <w:t>İtalya               0.525660</w:t>
      </w:r>
    </w:p>
    <w:p w14:paraId="34530EB9" w14:textId="77777777" w:rsidR="009D3402" w:rsidRDefault="009D3402" w:rsidP="009D3402">
      <w:pPr>
        <w:pStyle w:val="ListParagraph"/>
        <w:numPr>
          <w:ilvl w:val="0"/>
          <w:numId w:val="10"/>
        </w:numPr>
        <w:tabs>
          <w:tab w:val="left" w:pos="1188"/>
        </w:tabs>
        <w:jc w:val="center"/>
      </w:pPr>
      <w:r>
        <w:t>Polonya              0.523880</w:t>
      </w:r>
    </w:p>
    <w:p w14:paraId="716890EB" w14:textId="77777777" w:rsidR="009D3402" w:rsidRDefault="009D3402" w:rsidP="009D3402">
      <w:pPr>
        <w:pStyle w:val="ListParagraph"/>
        <w:numPr>
          <w:ilvl w:val="0"/>
          <w:numId w:val="10"/>
        </w:numPr>
        <w:tabs>
          <w:tab w:val="left" w:pos="1188"/>
        </w:tabs>
        <w:jc w:val="center"/>
      </w:pPr>
      <w:r>
        <w:t>Hollanda             0.523040</w:t>
      </w:r>
    </w:p>
    <w:p w14:paraId="538C6CAC" w14:textId="77777777" w:rsidR="009D3402" w:rsidRDefault="009D3402" w:rsidP="009D3402">
      <w:pPr>
        <w:pStyle w:val="ListParagraph"/>
        <w:numPr>
          <w:ilvl w:val="0"/>
          <w:numId w:val="10"/>
        </w:numPr>
        <w:tabs>
          <w:tab w:val="left" w:pos="1188"/>
        </w:tabs>
        <w:jc w:val="center"/>
      </w:pPr>
      <w:r>
        <w:t>Türkiye              0.518820</w:t>
      </w:r>
    </w:p>
    <w:p w14:paraId="4D31F280" w14:textId="68B2956E" w:rsidR="009D3402" w:rsidRDefault="009D3402" w:rsidP="009D3402">
      <w:pPr>
        <w:pStyle w:val="ListParagraph"/>
        <w:numPr>
          <w:ilvl w:val="0"/>
          <w:numId w:val="10"/>
        </w:numPr>
        <w:tabs>
          <w:tab w:val="left" w:pos="1188"/>
        </w:tabs>
        <w:jc w:val="center"/>
      </w:pPr>
      <w:r>
        <w:t xml:space="preserve">Beyaz Rusya (Belarus) </w:t>
      </w:r>
      <w:r>
        <w:t xml:space="preserve">   </w:t>
      </w:r>
      <w:r>
        <w:t>0.517700</w:t>
      </w:r>
    </w:p>
    <w:p w14:paraId="1031078C" w14:textId="77777777" w:rsidR="009D3402" w:rsidRDefault="009D3402" w:rsidP="009D3402">
      <w:pPr>
        <w:pStyle w:val="ListParagraph"/>
        <w:numPr>
          <w:ilvl w:val="0"/>
          <w:numId w:val="10"/>
        </w:numPr>
        <w:tabs>
          <w:tab w:val="left" w:pos="1188"/>
        </w:tabs>
        <w:jc w:val="center"/>
      </w:pPr>
      <w:r>
        <w:t>Portekiz             0.515894</w:t>
      </w:r>
    </w:p>
    <w:p w14:paraId="43FB40AE" w14:textId="77777777" w:rsidR="009D3402" w:rsidRDefault="009D3402" w:rsidP="009D3402">
      <w:pPr>
        <w:pStyle w:val="ListParagraph"/>
        <w:numPr>
          <w:ilvl w:val="0"/>
          <w:numId w:val="10"/>
        </w:numPr>
        <w:tabs>
          <w:tab w:val="left" w:pos="1188"/>
        </w:tabs>
        <w:jc w:val="center"/>
      </w:pPr>
      <w:r>
        <w:t>Vietnam              0.514960</w:t>
      </w:r>
    </w:p>
    <w:p w14:paraId="18ED1D3E" w14:textId="77777777" w:rsidR="009D3402" w:rsidRDefault="009D3402" w:rsidP="009D3402">
      <w:pPr>
        <w:pStyle w:val="ListParagraph"/>
        <w:numPr>
          <w:ilvl w:val="0"/>
          <w:numId w:val="10"/>
        </w:numPr>
        <w:tabs>
          <w:tab w:val="left" w:pos="1188"/>
        </w:tabs>
        <w:jc w:val="center"/>
      </w:pPr>
      <w:r>
        <w:t>Yunanistan           0.513860</w:t>
      </w:r>
    </w:p>
    <w:p w14:paraId="5B8798AE" w14:textId="77777777" w:rsidR="009D3402" w:rsidRDefault="009D3402" w:rsidP="009D3402">
      <w:pPr>
        <w:pStyle w:val="ListParagraph"/>
        <w:numPr>
          <w:ilvl w:val="0"/>
          <w:numId w:val="10"/>
        </w:numPr>
        <w:tabs>
          <w:tab w:val="left" w:pos="1188"/>
        </w:tabs>
        <w:jc w:val="center"/>
      </w:pPr>
      <w:r>
        <w:t>Hindistan            0.512660</w:t>
      </w:r>
    </w:p>
    <w:p w14:paraId="7BF93E26" w14:textId="331FFBF0" w:rsidR="009D3402" w:rsidRDefault="009D3402" w:rsidP="009D3402">
      <w:pPr>
        <w:pStyle w:val="ListParagraph"/>
        <w:numPr>
          <w:ilvl w:val="0"/>
          <w:numId w:val="10"/>
        </w:numPr>
        <w:tabs>
          <w:tab w:val="left" w:pos="1188"/>
        </w:tabs>
        <w:jc w:val="center"/>
      </w:pPr>
      <w:r>
        <w:t>Dominik Cumhuriyeti</w:t>
      </w:r>
      <w:r>
        <w:t xml:space="preserve">    </w:t>
      </w:r>
      <w:r>
        <w:t xml:space="preserve"> 0.509902</w:t>
      </w:r>
    </w:p>
    <w:p w14:paraId="23D22A13" w14:textId="77777777" w:rsidR="009D3402" w:rsidRDefault="009D3402" w:rsidP="009D3402">
      <w:pPr>
        <w:pStyle w:val="ListParagraph"/>
        <w:numPr>
          <w:ilvl w:val="0"/>
          <w:numId w:val="10"/>
        </w:numPr>
        <w:tabs>
          <w:tab w:val="left" w:pos="1188"/>
        </w:tabs>
        <w:jc w:val="center"/>
      </w:pPr>
      <w:r>
        <w:t>Tayland              0.508840</w:t>
      </w:r>
    </w:p>
    <w:p w14:paraId="50A4CE87" w14:textId="77777777" w:rsidR="009D3402" w:rsidRDefault="009D3402" w:rsidP="009D3402">
      <w:pPr>
        <w:pStyle w:val="ListParagraph"/>
        <w:numPr>
          <w:ilvl w:val="0"/>
          <w:numId w:val="10"/>
        </w:numPr>
        <w:tabs>
          <w:tab w:val="left" w:pos="1188"/>
        </w:tabs>
        <w:jc w:val="center"/>
      </w:pPr>
      <w:r>
        <w:t>Kazakistan           0.507070</w:t>
      </w:r>
    </w:p>
    <w:p w14:paraId="5D93F0A6" w14:textId="77777777" w:rsidR="009D3402" w:rsidRDefault="009D3402" w:rsidP="009D3402">
      <w:pPr>
        <w:pStyle w:val="ListParagraph"/>
        <w:numPr>
          <w:ilvl w:val="0"/>
          <w:numId w:val="10"/>
        </w:numPr>
        <w:tabs>
          <w:tab w:val="left" w:pos="1188"/>
        </w:tabs>
        <w:jc w:val="center"/>
      </w:pPr>
      <w:r>
        <w:t>İzlanda              0.501234</w:t>
      </w:r>
    </w:p>
    <w:p w14:paraId="0F8407D2" w14:textId="77777777" w:rsidR="009D3402" w:rsidRDefault="009D3402" w:rsidP="009D3402">
      <w:pPr>
        <w:pStyle w:val="ListParagraph"/>
        <w:numPr>
          <w:ilvl w:val="0"/>
          <w:numId w:val="10"/>
        </w:numPr>
        <w:tabs>
          <w:tab w:val="left" w:pos="1188"/>
        </w:tabs>
        <w:jc w:val="center"/>
      </w:pPr>
      <w:r>
        <w:t>Hong Kong            0.500620</w:t>
      </w:r>
    </w:p>
    <w:p w14:paraId="572CABE6" w14:textId="77777777" w:rsidR="009D3402" w:rsidRDefault="009D3402" w:rsidP="009D3402">
      <w:pPr>
        <w:pStyle w:val="ListParagraph"/>
        <w:numPr>
          <w:ilvl w:val="0"/>
          <w:numId w:val="10"/>
        </w:numPr>
        <w:tabs>
          <w:tab w:val="left" w:pos="1188"/>
        </w:tabs>
        <w:jc w:val="center"/>
      </w:pPr>
      <w:r>
        <w:t>Ukrayna              0.500180</w:t>
      </w:r>
    </w:p>
    <w:p w14:paraId="67CB81A0" w14:textId="77777777" w:rsidR="009D3402" w:rsidRDefault="009D3402" w:rsidP="009D3402">
      <w:pPr>
        <w:pStyle w:val="ListParagraph"/>
        <w:numPr>
          <w:ilvl w:val="0"/>
          <w:numId w:val="10"/>
        </w:numPr>
        <w:tabs>
          <w:tab w:val="left" w:pos="1188"/>
        </w:tabs>
        <w:jc w:val="center"/>
      </w:pPr>
      <w:r>
        <w:t>Lüksemburg           0.496923</w:t>
      </w:r>
    </w:p>
    <w:p w14:paraId="0538C69F" w14:textId="77777777" w:rsidR="009D3402" w:rsidRDefault="009D3402" w:rsidP="009D3402">
      <w:pPr>
        <w:pStyle w:val="ListParagraph"/>
        <w:numPr>
          <w:ilvl w:val="0"/>
          <w:numId w:val="10"/>
        </w:numPr>
        <w:tabs>
          <w:tab w:val="left" w:pos="1188"/>
        </w:tabs>
        <w:jc w:val="center"/>
      </w:pPr>
      <w:r>
        <w:t>Letonya              0.494800</w:t>
      </w:r>
    </w:p>
    <w:p w14:paraId="6E288006" w14:textId="77777777" w:rsidR="009D3402" w:rsidRDefault="009D3402" w:rsidP="009D3402">
      <w:pPr>
        <w:pStyle w:val="ListParagraph"/>
        <w:numPr>
          <w:ilvl w:val="0"/>
          <w:numId w:val="10"/>
        </w:numPr>
        <w:tabs>
          <w:tab w:val="left" w:pos="1188"/>
        </w:tabs>
        <w:jc w:val="center"/>
      </w:pPr>
      <w:r>
        <w:t>Yeni Zelanda         0.494664</w:t>
      </w:r>
    </w:p>
    <w:p w14:paraId="22C46436" w14:textId="77777777" w:rsidR="009D3402" w:rsidRDefault="009D3402" w:rsidP="009D3402">
      <w:pPr>
        <w:pStyle w:val="ListParagraph"/>
        <w:numPr>
          <w:ilvl w:val="0"/>
          <w:numId w:val="10"/>
        </w:numPr>
        <w:tabs>
          <w:tab w:val="left" w:pos="1188"/>
        </w:tabs>
        <w:jc w:val="center"/>
      </w:pPr>
      <w:r>
        <w:t>Suudi Arabistan      0.492700</w:t>
      </w:r>
    </w:p>
    <w:p w14:paraId="6345332C" w14:textId="77777777" w:rsidR="009D3402" w:rsidRDefault="009D3402" w:rsidP="009D3402">
      <w:pPr>
        <w:pStyle w:val="ListParagraph"/>
        <w:numPr>
          <w:ilvl w:val="0"/>
          <w:numId w:val="10"/>
        </w:numPr>
        <w:tabs>
          <w:tab w:val="left" w:pos="1188"/>
        </w:tabs>
        <w:jc w:val="center"/>
      </w:pPr>
      <w:r>
        <w:t>Tayvan               0.490632</w:t>
      </w:r>
    </w:p>
    <w:p w14:paraId="70C90ABB" w14:textId="77777777" w:rsidR="009D3402" w:rsidRDefault="009D3402" w:rsidP="009D3402">
      <w:pPr>
        <w:pStyle w:val="ListParagraph"/>
        <w:numPr>
          <w:ilvl w:val="0"/>
          <w:numId w:val="10"/>
        </w:numPr>
        <w:tabs>
          <w:tab w:val="left" w:pos="1188"/>
        </w:tabs>
        <w:jc w:val="center"/>
      </w:pPr>
      <w:r>
        <w:t>Singapur             0.489964</w:t>
      </w:r>
    </w:p>
    <w:p w14:paraId="6BAD896A" w14:textId="77777777" w:rsidR="009D3402" w:rsidRDefault="009D3402" w:rsidP="009D3402">
      <w:pPr>
        <w:pStyle w:val="ListParagraph"/>
        <w:numPr>
          <w:ilvl w:val="0"/>
          <w:numId w:val="10"/>
        </w:numPr>
        <w:tabs>
          <w:tab w:val="left" w:pos="1188"/>
        </w:tabs>
        <w:jc w:val="center"/>
      </w:pPr>
      <w:r>
        <w:t>Belçika              0.487980</w:t>
      </w:r>
    </w:p>
    <w:p w14:paraId="7B7D8D7B" w14:textId="77777777" w:rsidR="009D3402" w:rsidRDefault="009D3402" w:rsidP="009D3402">
      <w:pPr>
        <w:pStyle w:val="ListParagraph"/>
        <w:numPr>
          <w:ilvl w:val="0"/>
          <w:numId w:val="10"/>
        </w:numPr>
        <w:tabs>
          <w:tab w:val="left" w:pos="1188"/>
        </w:tabs>
        <w:jc w:val="center"/>
      </w:pPr>
      <w:r>
        <w:t>İsviçre              0.487340</w:t>
      </w:r>
    </w:p>
    <w:p w14:paraId="1AA9B021" w14:textId="77777777" w:rsidR="009D3402" w:rsidRDefault="009D3402" w:rsidP="009D3402">
      <w:pPr>
        <w:pStyle w:val="ListParagraph"/>
        <w:numPr>
          <w:ilvl w:val="0"/>
          <w:numId w:val="10"/>
        </w:numPr>
        <w:tabs>
          <w:tab w:val="left" w:pos="1188"/>
        </w:tabs>
        <w:jc w:val="center"/>
      </w:pPr>
      <w:r>
        <w:t>Avustralya           0.485404</w:t>
      </w:r>
    </w:p>
    <w:p w14:paraId="7AD6B2FC" w14:textId="77777777" w:rsidR="009D3402" w:rsidRDefault="009D3402" w:rsidP="009D3402">
      <w:pPr>
        <w:pStyle w:val="ListParagraph"/>
        <w:numPr>
          <w:ilvl w:val="0"/>
          <w:numId w:val="10"/>
        </w:numPr>
        <w:tabs>
          <w:tab w:val="left" w:pos="1188"/>
        </w:tabs>
        <w:jc w:val="center"/>
      </w:pPr>
      <w:r>
        <w:t>Çek Cumhuriyeti      0.485100</w:t>
      </w:r>
    </w:p>
    <w:p w14:paraId="199D54F3" w14:textId="77777777" w:rsidR="009D3402" w:rsidRDefault="009D3402" w:rsidP="009D3402">
      <w:pPr>
        <w:pStyle w:val="ListParagraph"/>
        <w:numPr>
          <w:ilvl w:val="0"/>
          <w:numId w:val="10"/>
        </w:numPr>
        <w:tabs>
          <w:tab w:val="left" w:pos="1188"/>
        </w:tabs>
        <w:jc w:val="center"/>
      </w:pPr>
      <w:r>
        <w:t>Macaristan           0.484376</w:t>
      </w:r>
    </w:p>
    <w:p w14:paraId="43D0BB3B" w14:textId="77777777" w:rsidR="009D3402" w:rsidRDefault="009D3402" w:rsidP="009D3402">
      <w:pPr>
        <w:pStyle w:val="ListParagraph"/>
        <w:numPr>
          <w:ilvl w:val="0"/>
          <w:numId w:val="10"/>
        </w:numPr>
        <w:tabs>
          <w:tab w:val="left" w:pos="1188"/>
        </w:tabs>
        <w:jc w:val="center"/>
      </w:pPr>
      <w:r>
        <w:t>Birleşik Arap Emirlikleri (BAE) 0.483364</w:t>
      </w:r>
    </w:p>
    <w:p w14:paraId="39AB8ED1" w14:textId="77777777" w:rsidR="009D3402" w:rsidRDefault="009D3402" w:rsidP="009D3402">
      <w:pPr>
        <w:pStyle w:val="ListParagraph"/>
        <w:numPr>
          <w:ilvl w:val="0"/>
          <w:numId w:val="10"/>
        </w:numPr>
        <w:tabs>
          <w:tab w:val="left" w:pos="1188"/>
        </w:tabs>
        <w:jc w:val="center"/>
      </w:pPr>
      <w:r>
        <w:t>Estonya              0.481264</w:t>
      </w:r>
    </w:p>
    <w:p w14:paraId="0592AD3D" w14:textId="77777777" w:rsidR="009D3402" w:rsidRDefault="009D3402" w:rsidP="009D3402">
      <w:pPr>
        <w:pStyle w:val="ListParagraph"/>
        <w:numPr>
          <w:ilvl w:val="0"/>
          <w:numId w:val="10"/>
        </w:numPr>
        <w:tabs>
          <w:tab w:val="left" w:pos="1188"/>
        </w:tabs>
        <w:jc w:val="center"/>
      </w:pPr>
      <w:r>
        <w:t>Güney Afrika         0.480300</w:t>
      </w:r>
    </w:p>
    <w:p w14:paraId="670CB14F" w14:textId="77777777" w:rsidR="009D3402" w:rsidRDefault="009D3402" w:rsidP="009D3402">
      <w:pPr>
        <w:pStyle w:val="ListParagraph"/>
        <w:numPr>
          <w:ilvl w:val="0"/>
          <w:numId w:val="10"/>
        </w:numPr>
        <w:tabs>
          <w:tab w:val="left" w:pos="1188"/>
        </w:tabs>
        <w:jc w:val="center"/>
      </w:pPr>
      <w:r>
        <w:t>Güney Kore           0.479320</w:t>
      </w:r>
    </w:p>
    <w:p w14:paraId="6CFB0DB8" w14:textId="77777777" w:rsidR="009D3402" w:rsidRDefault="009D3402" w:rsidP="009D3402">
      <w:pPr>
        <w:pStyle w:val="ListParagraph"/>
        <w:numPr>
          <w:ilvl w:val="0"/>
          <w:numId w:val="10"/>
        </w:numPr>
        <w:tabs>
          <w:tab w:val="left" w:pos="1188"/>
        </w:tabs>
        <w:jc w:val="center"/>
      </w:pPr>
      <w:r>
        <w:t>Almanya              0.476604</w:t>
      </w:r>
    </w:p>
    <w:p w14:paraId="1B73D8C3" w14:textId="77777777" w:rsidR="009D3402" w:rsidRDefault="009D3402" w:rsidP="009D3402">
      <w:pPr>
        <w:pStyle w:val="ListParagraph"/>
        <w:numPr>
          <w:ilvl w:val="0"/>
          <w:numId w:val="10"/>
        </w:numPr>
        <w:tabs>
          <w:tab w:val="left" w:pos="1188"/>
        </w:tabs>
        <w:jc w:val="center"/>
      </w:pPr>
      <w:r>
        <w:t>Norveç               0.472060</w:t>
      </w:r>
    </w:p>
    <w:p w14:paraId="464F6AE9" w14:textId="77777777" w:rsidR="009D3402" w:rsidRDefault="009D3402" w:rsidP="009D3402">
      <w:pPr>
        <w:pStyle w:val="ListParagraph"/>
        <w:numPr>
          <w:ilvl w:val="0"/>
          <w:numId w:val="10"/>
        </w:numPr>
        <w:tabs>
          <w:tab w:val="left" w:pos="1188"/>
        </w:tabs>
        <w:jc w:val="center"/>
      </w:pPr>
      <w:r>
        <w:t>Avusturya            0.469140</w:t>
      </w:r>
    </w:p>
    <w:p w14:paraId="6FC53DB7" w14:textId="77777777" w:rsidR="009D3402" w:rsidRDefault="009D3402" w:rsidP="009D3402">
      <w:pPr>
        <w:pStyle w:val="ListParagraph"/>
        <w:numPr>
          <w:ilvl w:val="0"/>
          <w:numId w:val="10"/>
        </w:numPr>
        <w:tabs>
          <w:tab w:val="left" w:pos="1188"/>
        </w:tabs>
        <w:jc w:val="center"/>
      </w:pPr>
      <w:r>
        <w:t>Birleşik Krallık (BK) 0.463764</w:t>
      </w:r>
    </w:p>
    <w:p w14:paraId="7CDD83D9" w14:textId="77777777" w:rsidR="009D3402" w:rsidRDefault="009D3402" w:rsidP="009D3402">
      <w:pPr>
        <w:pStyle w:val="ListParagraph"/>
        <w:numPr>
          <w:ilvl w:val="0"/>
          <w:numId w:val="10"/>
        </w:numPr>
        <w:tabs>
          <w:tab w:val="left" w:pos="1188"/>
        </w:tabs>
        <w:jc w:val="center"/>
      </w:pPr>
      <w:r>
        <w:t>İsveç                0.458680</w:t>
      </w:r>
    </w:p>
    <w:p w14:paraId="59180B19" w14:textId="77777777" w:rsidR="009D3402" w:rsidRDefault="009D3402" w:rsidP="009D3402">
      <w:pPr>
        <w:pStyle w:val="ListParagraph"/>
        <w:numPr>
          <w:ilvl w:val="0"/>
          <w:numId w:val="10"/>
        </w:numPr>
        <w:tabs>
          <w:tab w:val="left" w:pos="1188"/>
        </w:tabs>
        <w:jc w:val="center"/>
      </w:pPr>
      <w:r>
        <w:t>İrlanda              0.457724</w:t>
      </w:r>
    </w:p>
    <w:p w14:paraId="0A6EB43F" w14:textId="77777777" w:rsidR="009D3402" w:rsidRDefault="009D3402" w:rsidP="009D3402">
      <w:pPr>
        <w:pStyle w:val="ListParagraph"/>
        <w:numPr>
          <w:ilvl w:val="0"/>
          <w:numId w:val="10"/>
        </w:numPr>
        <w:tabs>
          <w:tab w:val="left" w:pos="1188"/>
        </w:tabs>
        <w:jc w:val="center"/>
      </w:pPr>
      <w:r>
        <w:t>Slovakya             0.451540</w:t>
      </w:r>
    </w:p>
    <w:p w14:paraId="54059985" w14:textId="77777777" w:rsidR="009D3402" w:rsidRDefault="009D3402" w:rsidP="009D3402">
      <w:pPr>
        <w:pStyle w:val="ListParagraph"/>
        <w:numPr>
          <w:ilvl w:val="0"/>
          <w:numId w:val="10"/>
        </w:numPr>
        <w:tabs>
          <w:tab w:val="left" w:pos="1188"/>
        </w:tabs>
        <w:jc w:val="center"/>
      </w:pPr>
      <w:r>
        <w:t>ABD                  0.449024</w:t>
      </w:r>
    </w:p>
    <w:p w14:paraId="75DF6BD7" w14:textId="77777777" w:rsidR="009D3402" w:rsidRDefault="009D3402" w:rsidP="009D3402">
      <w:pPr>
        <w:pStyle w:val="ListParagraph"/>
        <w:numPr>
          <w:ilvl w:val="0"/>
          <w:numId w:val="10"/>
        </w:numPr>
        <w:tabs>
          <w:tab w:val="left" w:pos="1188"/>
        </w:tabs>
        <w:jc w:val="center"/>
      </w:pPr>
      <w:r>
        <w:t>Malezya              0.443560</w:t>
      </w:r>
    </w:p>
    <w:p w14:paraId="1738FFDC" w14:textId="77777777" w:rsidR="009D3402" w:rsidRDefault="009D3402" w:rsidP="009D3402">
      <w:pPr>
        <w:pStyle w:val="ListParagraph"/>
        <w:numPr>
          <w:ilvl w:val="0"/>
          <w:numId w:val="10"/>
        </w:numPr>
        <w:tabs>
          <w:tab w:val="left" w:pos="1188"/>
        </w:tabs>
        <w:jc w:val="center"/>
      </w:pPr>
      <w:r>
        <w:t>Filipinler           0.428094</w:t>
      </w:r>
    </w:p>
    <w:p w14:paraId="00BC4C01" w14:textId="77777777" w:rsidR="009D3402" w:rsidRDefault="009D3402" w:rsidP="009D3402">
      <w:pPr>
        <w:pStyle w:val="ListParagraph"/>
        <w:numPr>
          <w:ilvl w:val="0"/>
          <w:numId w:val="10"/>
        </w:numPr>
        <w:tabs>
          <w:tab w:val="left" w:pos="1188"/>
        </w:tabs>
        <w:jc w:val="center"/>
      </w:pPr>
      <w:r>
        <w:t>Kanada               0.426084</w:t>
      </w:r>
    </w:p>
    <w:p w14:paraId="52BC74DD" w14:textId="77777777" w:rsidR="009D3402" w:rsidRDefault="009D3402" w:rsidP="009D3402">
      <w:pPr>
        <w:pStyle w:val="ListParagraph"/>
        <w:numPr>
          <w:ilvl w:val="0"/>
          <w:numId w:val="10"/>
        </w:numPr>
        <w:tabs>
          <w:tab w:val="left" w:pos="1188"/>
        </w:tabs>
        <w:jc w:val="center"/>
      </w:pPr>
      <w:r>
        <w:t>İsrail               0.418842</w:t>
      </w:r>
    </w:p>
    <w:p w14:paraId="681A9A66" w14:textId="22DC2C76" w:rsidR="00C62026" w:rsidRPr="00D478A1" w:rsidRDefault="009D3402" w:rsidP="009D3402">
      <w:pPr>
        <w:pStyle w:val="ListParagraph"/>
        <w:numPr>
          <w:ilvl w:val="0"/>
          <w:numId w:val="10"/>
        </w:numPr>
        <w:tabs>
          <w:tab w:val="left" w:pos="1188"/>
        </w:tabs>
        <w:jc w:val="center"/>
      </w:pPr>
      <w:r>
        <w:t>Endonezya            0.415780</w:t>
      </w:r>
    </w:p>
    <w:sectPr w:rsidR="00C62026" w:rsidRPr="00D478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1A5"/>
    <w:multiLevelType w:val="hybridMultilevel"/>
    <w:tmpl w:val="E9E232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17B2F5F"/>
    <w:multiLevelType w:val="multilevel"/>
    <w:tmpl w:val="2CC0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FD5CCA"/>
    <w:multiLevelType w:val="hybridMultilevel"/>
    <w:tmpl w:val="F81E353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37C25D4"/>
    <w:multiLevelType w:val="hybridMultilevel"/>
    <w:tmpl w:val="D870F2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2EB11BA"/>
    <w:multiLevelType w:val="hybridMultilevel"/>
    <w:tmpl w:val="8DAC884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4304353"/>
    <w:multiLevelType w:val="hybridMultilevel"/>
    <w:tmpl w:val="0D5CE25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B3C21A8"/>
    <w:multiLevelType w:val="hybridMultilevel"/>
    <w:tmpl w:val="B67C68B8"/>
    <w:lvl w:ilvl="0" w:tplc="041F000F">
      <w:start w:val="1"/>
      <w:numFmt w:val="decimal"/>
      <w:lvlText w:val="%1."/>
      <w:lvlJc w:val="left"/>
      <w:pPr>
        <w:ind w:left="99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B416B81"/>
    <w:multiLevelType w:val="hybridMultilevel"/>
    <w:tmpl w:val="ED264F2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EA03F11"/>
    <w:multiLevelType w:val="hybridMultilevel"/>
    <w:tmpl w:val="5638F6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BD907A7"/>
    <w:multiLevelType w:val="hybridMultilevel"/>
    <w:tmpl w:val="8D9E59D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44492385">
    <w:abstractNumId w:val="1"/>
  </w:num>
  <w:num w:numId="2" w16cid:durableId="305209141">
    <w:abstractNumId w:val="7"/>
  </w:num>
  <w:num w:numId="3" w16cid:durableId="235820533">
    <w:abstractNumId w:val="4"/>
  </w:num>
  <w:num w:numId="4" w16cid:durableId="731271669">
    <w:abstractNumId w:val="8"/>
  </w:num>
  <w:num w:numId="5" w16cid:durableId="1722942964">
    <w:abstractNumId w:val="0"/>
  </w:num>
  <w:num w:numId="6" w16cid:durableId="1047491430">
    <w:abstractNumId w:val="5"/>
  </w:num>
  <w:num w:numId="7" w16cid:durableId="421755818">
    <w:abstractNumId w:val="9"/>
  </w:num>
  <w:num w:numId="8" w16cid:durableId="801118807">
    <w:abstractNumId w:val="3"/>
  </w:num>
  <w:num w:numId="9" w16cid:durableId="907613706">
    <w:abstractNumId w:val="2"/>
  </w:num>
  <w:num w:numId="10" w16cid:durableId="2475434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5C"/>
    <w:rsid w:val="00003491"/>
    <w:rsid w:val="000150B4"/>
    <w:rsid w:val="000876CA"/>
    <w:rsid w:val="000C011E"/>
    <w:rsid w:val="000D63AC"/>
    <w:rsid w:val="00135797"/>
    <w:rsid w:val="001B6679"/>
    <w:rsid w:val="002160E3"/>
    <w:rsid w:val="003423E7"/>
    <w:rsid w:val="00374BF1"/>
    <w:rsid w:val="003B165C"/>
    <w:rsid w:val="0043185F"/>
    <w:rsid w:val="00447432"/>
    <w:rsid w:val="00537443"/>
    <w:rsid w:val="0054656E"/>
    <w:rsid w:val="00565492"/>
    <w:rsid w:val="005A5CB8"/>
    <w:rsid w:val="005F3073"/>
    <w:rsid w:val="00691B73"/>
    <w:rsid w:val="006B5E73"/>
    <w:rsid w:val="00724445"/>
    <w:rsid w:val="0074727B"/>
    <w:rsid w:val="00764665"/>
    <w:rsid w:val="007E6E75"/>
    <w:rsid w:val="008421FB"/>
    <w:rsid w:val="00923034"/>
    <w:rsid w:val="00974F0A"/>
    <w:rsid w:val="009A008B"/>
    <w:rsid w:val="009D3402"/>
    <w:rsid w:val="009F7B3C"/>
    <w:rsid w:val="00A14666"/>
    <w:rsid w:val="00A436C7"/>
    <w:rsid w:val="00A84000"/>
    <w:rsid w:val="00B556DF"/>
    <w:rsid w:val="00BD1EDB"/>
    <w:rsid w:val="00BF404C"/>
    <w:rsid w:val="00C62026"/>
    <w:rsid w:val="00D018A6"/>
    <w:rsid w:val="00D478A1"/>
    <w:rsid w:val="00D7729E"/>
    <w:rsid w:val="00E822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0739"/>
  <w15:chartTrackingRefBased/>
  <w15:docId w15:val="{540D0B53-0230-4536-957E-36B27FCB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7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3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60249">
      <w:bodyDiv w:val="1"/>
      <w:marLeft w:val="0"/>
      <w:marRight w:val="0"/>
      <w:marTop w:val="0"/>
      <w:marBottom w:val="0"/>
      <w:divBdr>
        <w:top w:val="none" w:sz="0" w:space="0" w:color="auto"/>
        <w:left w:val="none" w:sz="0" w:space="0" w:color="auto"/>
        <w:bottom w:val="none" w:sz="0" w:space="0" w:color="auto"/>
        <w:right w:val="none" w:sz="0" w:space="0" w:color="auto"/>
      </w:divBdr>
      <w:divsChild>
        <w:div w:id="1041590320">
          <w:marLeft w:val="0"/>
          <w:marRight w:val="0"/>
          <w:marTop w:val="0"/>
          <w:marBottom w:val="0"/>
          <w:divBdr>
            <w:top w:val="none" w:sz="0" w:space="0" w:color="auto"/>
            <w:left w:val="none" w:sz="0" w:space="0" w:color="auto"/>
            <w:bottom w:val="none" w:sz="0" w:space="0" w:color="auto"/>
            <w:right w:val="none" w:sz="0" w:space="0" w:color="auto"/>
          </w:divBdr>
          <w:divsChild>
            <w:div w:id="1902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55383">
      <w:bodyDiv w:val="1"/>
      <w:marLeft w:val="0"/>
      <w:marRight w:val="0"/>
      <w:marTop w:val="0"/>
      <w:marBottom w:val="0"/>
      <w:divBdr>
        <w:top w:val="none" w:sz="0" w:space="0" w:color="auto"/>
        <w:left w:val="none" w:sz="0" w:space="0" w:color="auto"/>
        <w:bottom w:val="none" w:sz="0" w:space="0" w:color="auto"/>
        <w:right w:val="none" w:sz="0" w:space="0" w:color="auto"/>
      </w:divBdr>
    </w:div>
    <w:div w:id="1060205124">
      <w:bodyDiv w:val="1"/>
      <w:marLeft w:val="0"/>
      <w:marRight w:val="0"/>
      <w:marTop w:val="0"/>
      <w:marBottom w:val="0"/>
      <w:divBdr>
        <w:top w:val="none" w:sz="0" w:space="0" w:color="auto"/>
        <w:left w:val="none" w:sz="0" w:space="0" w:color="auto"/>
        <w:bottom w:val="none" w:sz="0" w:space="0" w:color="auto"/>
        <w:right w:val="none" w:sz="0" w:space="0" w:color="auto"/>
      </w:divBdr>
      <w:divsChild>
        <w:div w:id="989865758">
          <w:marLeft w:val="0"/>
          <w:marRight w:val="0"/>
          <w:marTop w:val="0"/>
          <w:marBottom w:val="0"/>
          <w:divBdr>
            <w:top w:val="none" w:sz="0" w:space="0" w:color="auto"/>
            <w:left w:val="none" w:sz="0" w:space="0" w:color="auto"/>
            <w:bottom w:val="none" w:sz="0" w:space="0" w:color="auto"/>
            <w:right w:val="none" w:sz="0" w:space="0" w:color="auto"/>
          </w:divBdr>
          <w:divsChild>
            <w:div w:id="1255550245">
              <w:marLeft w:val="0"/>
              <w:marRight w:val="0"/>
              <w:marTop w:val="0"/>
              <w:marBottom w:val="0"/>
              <w:divBdr>
                <w:top w:val="none" w:sz="0" w:space="0" w:color="auto"/>
                <w:left w:val="none" w:sz="0" w:space="0" w:color="auto"/>
                <w:bottom w:val="none" w:sz="0" w:space="0" w:color="auto"/>
                <w:right w:val="none" w:sz="0" w:space="0" w:color="auto"/>
              </w:divBdr>
            </w:div>
            <w:div w:id="19761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1583">
      <w:bodyDiv w:val="1"/>
      <w:marLeft w:val="0"/>
      <w:marRight w:val="0"/>
      <w:marTop w:val="0"/>
      <w:marBottom w:val="0"/>
      <w:divBdr>
        <w:top w:val="none" w:sz="0" w:space="0" w:color="auto"/>
        <w:left w:val="none" w:sz="0" w:space="0" w:color="auto"/>
        <w:bottom w:val="none" w:sz="0" w:space="0" w:color="auto"/>
        <w:right w:val="none" w:sz="0" w:space="0" w:color="auto"/>
      </w:divBdr>
      <w:divsChild>
        <w:div w:id="647366469">
          <w:marLeft w:val="0"/>
          <w:marRight w:val="0"/>
          <w:marTop w:val="0"/>
          <w:marBottom w:val="0"/>
          <w:divBdr>
            <w:top w:val="none" w:sz="0" w:space="0" w:color="auto"/>
            <w:left w:val="none" w:sz="0" w:space="0" w:color="auto"/>
            <w:bottom w:val="none" w:sz="0" w:space="0" w:color="auto"/>
            <w:right w:val="none" w:sz="0" w:space="0" w:color="auto"/>
          </w:divBdr>
          <w:divsChild>
            <w:div w:id="1996183836">
              <w:marLeft w:val="0"/>
              <w:marRight w:val="0"/>
              <w:marTop w:val="0"/>
              <w:marBottom w:val="0"/>
              <w:divBdr>
                <w:top w:val="none" w:sz="0" w:space="0" w:color="auto"/>
                <w:left w:val="none" w:sz="0" w:space="0" w:color="auto"/>
                <w:bottom w:val="none" w:sz="0" w:space="0" w:color="auto"/>
                <w:right w:val="none" w:sz="0" w:space="0" w:color="auto"/>
              </w:divBdr>
            </w:div>
            <w:div w:id="6083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5</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Ayvaz</dc:creator>
  <cp:keywords/>
  <dc:description/>
  <cp:lastModifiedBy>Ahmet Ayvaz</cp:lastModifiedBy>
  <cp:revision>6</cp:revision>
  <dcterms:created xsi:type="dcterms:W3CDTF">2023-11-20T09:25:00Z</dcterms:created>
  <dcterms:modified xsi:type="dcterms:W3CDTF">2023-11-22T13:46:00Z</dcterms:modified>
</cp:coreProperties>
</file>