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Supplementary methods and statistical results for the two recording OWAS study</w:t>
      </w:r>
    </w:p>
    <w:p>
      <w:r>
        <w:rPr>
          <w:color w:val="000000"/>
        </w:rPr>
        <w:t>Companion to Expert-Referenced Evaluation of Multimodal AI for OWAS Coding Across Workplace Visual Conditions. The primary stream comprises the original archived responses. Each evaluation was conducted as a separate, isolated session by the investigators. Except in Conditions 4–8, where the specified previous AI codes were deliberately supplied as inputs, each session received only the current prompt and the images defined for that condition; no information from other evaluation sessions was intentionally provided. All resampling and hypothesis calculations are exploratory and conditional on their stated assumptions. CSV files in ../results, relative to this supplement directory, contain the complete numerical results, including cells not reproduced in the compact tables below.</w:t>
      </w:r>
    </w:p>
    <w:p>
      <w:pPr>
        <w:pStyle w:val="Heading1"/>
      </w:pPr>
      <w:r>
        <w:rPr>
          <w:color w:val="000000"/>
        </w:rPr>
        <w:t>S1 Hypotheses observations and reference construction</w:t>
      </w:r>
    </w:p>
    <w:p>
      <w:r>
        <w:rPr>
          <w:color w:val="000000"/>
        </w:rPr>
        <w:t>The observation unit is a synchronized camera pair within its recording. A frame has 16 correlated original evaluations: two AI versions and eight information conditions. The two recordings contribute 69 and 112 different frame pairs, not 181 different workers. Frame keys concatenate the recording identifier and the original five-character frame identifier. No cross-recording pairing was inferred from matching numbers.</w:t>
      </w:r>
    </w:p>
    <w:p>
      <w:pPr>
        <w:pStyle w:val="Caption"/>
        <w:keepNext/>
      </w:pPr>
      <w:r>
        <w:rPr>
          <w:color w:val="000000"/>
        </w:rPr>
        <w:t>Table S1 Exploratory hypotheses and their statistical interpretation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76"/>
        <w:gridCol w:w="2880"/>
        <w:gridCol w:w="3312"/>
        <w:gridCol w:w="3168"/>
      </w:tblGrid>
      <w:tr>
        <w:trPr>
          <w:tblHeader/>
          <w:cantSplit/>
        </w:trPr>
        <w:tc>
          <w:tcPr>
            <w:tcW w:type="dxa" w:w="576"/>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ID</w:t>
            </w:r>
          </w:p>
        </w:tc>
        <w:tc>
          <w:tcPr>
            <w:tcW w:type="dxa" w:w="288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Question and contrast</w:t>
            </w:r>
          </w:p>
        </w:tc>
        <w:tc>
          <w:tcPr>
            <w:tcW w:type="dxa" w:w="331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Calculation</w:t>
            </w:r>
          </w:p>
        </w:tc>
        <w:tc>
          <w:tcPr>
            <w:tcW w:type="dxa" w:w="3168"/>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Interpretation limit</w:t>
            </w:r>
          </w:p>
        </w:tc>
      </w:tr>
      <w:tr>
        <w:trPr>
          <w:cantSplit/>
        </w:trPr>
        <w:tc>
          <w:tcPr>
            <w:tcW w:type="dxa" w:w="57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H1</w:t>
            </w:r>
          </w:p>
        </w:tc>
        <w:tc>
          <w:tcPr>
            <w:tcW w:type="dxa" w:w="28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Version agreement within each condition</w:t>
            </w:r>
          </w:p>
        </w:tc>
        <w:tc>
          <w:tcPr>
            <w:tcW w:type="dxa" w:w="331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Paired M61 minus M56 matching rates; exact McNemar; 24-test Holm family</w:t>
            </w:r>
          </w:p>
        </w:tc>
        <w:tc>
          <w:tcPr>
            <w:tcW w:type="dxa" w:w="316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Complete workflow comparison in prior-assisted conditions</w:t>
            </w:r>
          </w:p>
        </w:tc>
      </w:tr>
      <w:tr>
        <w:trPr>
          <w:cantSplit/>
        </w:trPr>
        <w:tc>
          <w:tcPr>
            <w:tcW w:type="dxa" w:w="576"/>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7"/>
              </w:rPr>
              <w:t>H2</w:t>
            </w:r>
          </w:p>
        </w:tc>
        <w:tc>
          <w:tcPr>
            <w:tcW w:type="dxa" w:w="288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Component agreement across versions and body components</w:t>
            </w:r>
          </w:p>
        </w:tc>
        <w:tc>
          <w:tcPr>
            <w:tcW w:type="dxa" w:w="331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Paired match indicators; 216-test Holm family; macro recall and category precision</w:t>
            </w:r>
          </w:p>
        </w:tc>
        <w:tc>
          <w:tcPr>
            <w:tcW w:type="dxa" w:w="316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Agreement against consensus, not repeated-run reliability</w:t>
            </w:r>
          </w:p>
        </w:tc>
      </w:tr>
      <w:tr>
        <w:trPr>
          <w:cantSplit/>
        </w:trPr>
        <w:tc>
          <w:tcPr>
            <w:tcW w:type="dxa" w:w="57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H3</w:t>
            </w:r>
          </w:p>
        </w:tc>
        <w:tc>
          <w:tcPr>
            <w:tcW w:type="dxa" w:w="28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Change after adding an image or previous code</w:t>
            </w:r>
          </w:p>
        </w:tc>
        <w:tc>
          <w:tcPr>
            <w:tcW w:type="dxa" w:w="331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Seven directed paired contrasts per version; 42-test primary Holm family</w:t>
            </w:r>
          </w:p>
        </w:tc>
        <w:tc>
          <w:tcPr>
            <w:tcW w:type="dxa" w:w="316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Observed run differences; no randomized information intervention</w:t>
            </w:r>
          </w:p>
        </w:tc>
      </w:tr>
      <w:tr>
        <w:trPr>
          <w:cantSplit/>
        </w:trPr>
        <w:tc>
          <w:tcPr>
            <w:tcW w:type="dxa" w:w="576"/>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7"/>
              </w:rPr>
              <w:t>H4</w:t>
            </w:r>
          </w:p>
        </w:tc>
        <w:tc>
          <w:tcPr>
            <w:tcW w:type="dxa" w:w="288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Association with 100, 250 or 400 lux</w:t>
            </w:r>
          </w:p>
        </w:tc>
        <w:tc>
          <w:tcPr>
            <w:tcW w:type="dxa" w:w="331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Exact three-group tables; 288-test Holm family; common-category standardization</w:t>
            </w:r>
          </w:p>
        </w:tc>
        <w:tc>
          <w:tcPr>
            <w:tcW w:type="dxa" w:w="316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Period and posture composition remain confounded</w:t>
            </w:r>
          </w:p>
        </w:tc>
      </w:tr>
      <w:tr>
        <w:trPr>
          <w:cantSplit/>
        </w:trPr>
        <w:tc>
          <w:tcPr>
            <w:tcW w:type="dxa" w:w="57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H5</w:t>
            </w:r>
          </w:p>
        </w:tc>
        <w:tc>
          <w:tcPr>
            <w:tcW w:type="dxa" w:w="28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Consistency of information changes between recordings</w:t>
            </w:r>
          </w:p>
        </w:tc>
        <w:tc>
          <w:tcPr>
            <w:tcW w:type="dxa" w:w="331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Difference of recording-specific paired changes; ordered-block intervals; recording-weight sensitivity</w:t>
            </w:r>
          </w:p>
        </w:tc>
        <w:tc>
          <w:tcPr>
            <w:tcW w:type="dxa" w:w="316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Pointwise sensitivity, not a causal clothing effect or confirmatory interaction test</w:t>
            </w:r>
          </w:p>
        </w:tc>
      </w:tr>
    </w:tbl>
    <w:p>
      <w:pPr>
        <w:spacing w:after="160"/>
      </w:pPr>
      <w:r>
        <w:rPr>
          <w:color w:val="000000"/>
        </w:rPr>
        <w:t>Hypotheses organize an analysis formulated after archived outputs had been inspected. No outcome is presented as a preregistered confirmatory finding. H1–H4 p values require independent frame pairs; H5 intervals require their stated resampling assumptions.</w:t>
      </w:r>
    </w:p>
    <w:p>
      <w:r>
        <w:rPr>
          <w:color w:val="000000"/>
        </w:rPr>
        <w:t>Consensus extraction used the first worksheet of each reference workbook. The front, side and paired-image consensus blocks were read at their archived frame identifiers. In the everyday-workwear workbook, the additional paired-image blocks repeated all 112 primary paired-image codes exactly; these were validation copies and were not counted as additional observations. The additional worksheet did not provide a complete pair of independent pre-consensus ratings from both experts, so it did not support an initial inter-rater reliability estimate.</w:t>
      </w:r>
    </w:p>
    <w:p>
      <w:r>
        <w:rPr>
          <w:color w:val="000000"/>
        </w:rPr>
        <w:t>The common target is paired-image expert consensus. The full performance table also scores every output against side-only and front-only consensus, giving 144 recording/version/condition/reference rows when the pooled summary is included. A camera-matched sensitivity comparison uses side consensus for Conditions 1 and 7, front consensus for Conditions 2 and 8, and paired-image consensus for Conditions 3–6. Conditions 4–8 nevertheless provide textual information absent from the expert presentation.</w:t>
      </w:r>
    </w:p>
    <w:p>
      <w:pPr>
        <w:pStyle w:val="Heading1"/>
      </w:pPr>
      <w:r>
        <w:rPr>
          <w:color w:val="000000"/>
        </w:rPr>
        <w:t>S2 Outcome definitions and worked calculations</w:t>
      </w:r>
    </w:p>
    <w:p>
      <w:r>
        <w:rPr>
          <w:color w:val="000000"/>
        </w:rPr>
        <w:t>An exact posture match requires identical back, arm and leg codes. Every load code is 1. For any component or full posture, all-frame agreement is 100 times matching count divided by the number of reference frames. An unresolved output remains in that denominator as a nonmatch. Conditional agreement divides the same matching count by the number of issued codes. Kappa is computed only on available pairs and is nominal for posture/component labels; action-category kappa uses linear disagreement weights over categories 1–4.</w:t>
      </w:r>
    </w:p>
    <w:p>
      <w:r>
        <w:rPr>
          <w:color w:val="000000"/>
        </w:rPr>
        <w:t>For a component category, let the matching count be TP, the reference count R and the prediction count P. Recall is 100 × TP/R; precision is 100 × TP/P; the category F1 percentage is 200 × TP/(R + P). Macro recall and macro F1 average the category values equally over reference-present categories. A missing reference category has no recall estimate, and a category never issued has no precision estimate. NA is retained as an explicit confusion-matrix output and is not introduced as a legitimate reference posture category.</w:t>
      </w:r>
    </w:p>
    <w:p>
      <w:r>
        <w:rPr>
          <w:color w:val="000000"/>
        </w:rPr>
        <w:t>As a worked primary example, pooled Condition 4 has 59 M56 matches among 181 frames, giving 100 × 59/181 = 32.60%. M61 has 50 matches among 181 frames, or 27.62%, but supplies 95 complete codes, giving 100 × 50/95 = 52.63% conditional agreement. These percentages answer different questions. Treating the last percentage as if it applied to every frame would omit the 86 unresolved M61 outputs.</w:t>
      </w:r>
    </w:p>
    <w:p>
      <w:pPr>
        <w:pStyle w:val="Caption"/>
        <w:keepNext/>
      </w:pPr>
      <w:r>
        <w:rPr>
          <w:color w:val="000000"/>
        </w:rPr>
        <w:t>Table S2 Worked paired version table for pooled Condition 1</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1728"/>
        <w:gridCol w:w="3168"/>
        <w:gridCol w:w="2160"/>
      </w:tblGrid>
      <w:tr>
        <w:trPr>
          <w:tblHeader/>
          <w:cantSplit/>
        </w:trPr>
        <w:tc>
          <w:tcPr>
            <w:tcW w:type="dxa" w:w="2880"/>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M56 outcome</w:t>
            </w:r>
          </w:p>
        </w:tc>
        <w:tc>
          <w:tcPr>
            <w:tcW w:type="dxa" w:w="1728"/>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exact</w:t>
            </w:r>
          </w:p>
        </w:tc>
        <w:tc>
          <w:tcPr>
            <w:tcW w:type="dxa" w:w="3168"/>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nonmatching or NA</w:t>
            </w:r>
          </w:p>
        </w:tc>
        <w:tc>
          <w:tcPr>
            <w:tcW w:type="dxa" w:w="216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Row total</w:t>
            </w:r>
          </w:p>
        </w:tc>
      </w:tr>
      <w:tr>
        <w:trPr>
          <w:cantSplit/>
        </w:trPr>
        <w:tc>
          <w:tcPr>
            <w:tcW w:type="dxa" w:w="28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Exact</w:t>
            </w:r>
          </w:p>
        </w:tc>
        <w:tc>
          <w:tcPr>
            <w:tcW w:type="dxa" w:w="172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31</w:t>
            </w:r>
          </w:p>
        </w:tc>
        <w:tc>
          <w:tcPr>
            <w:tcW w:type="dxa" w:w="316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22</w:t>
            </w:r>
          </w:p>
        </w:tc>
        <w:tc>
          <w:tcPr>
            <w:tcW w:type="dxa" w:w="216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53</w:t>
            </w:r>
          </w:p>
        </w:tc>
      </w:tr>
      <w:tr>
        <w:trPr>
          <w:cantSplit/>
        </w:trPr>
        <w:tc>
          <w:tcPr>
            <w:tcW w:type="dxa" w:w="288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Nonmatching or NA</w:t>
            </w:r>
          </w:p>
        </w:tc>
        <w:tc>
          <w:tcPr>
            <w:tcW w:type="dxa" w:w="172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w:t>
            </w:r>
          </w:p>
        </w:tc>
        <w:tc>
          <w:tcPr>
            <w:tcW w:type="dxa" w:w="316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124</w:t>
            </w:r>
          </w:p>
        </w:tc>
        <w:tc>
          <w:tcPr>
            <w:tcW w:type="dxa" w:w="216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128</w:t>
            </w:r>
          </w:p>
        </w:tc>
      </w:tr>
      <w:tr>
        <w:trPr>
          <w:cantSplit/>
        </w:trPr>
        <w:tc>
          <w:tcPr>
            <w:tcW w:type="dxa" w:w="28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Column total</w:t>
            </w:r>
          </w:p>
        </w:tc>
        <w:tc>
          <w:tcPr>
            <w:tcW w:type="dxa" w:w="172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35</w:t>
            </w:r>
          </w:p>
        </w:tc>
        <w:tc>
          <w:tcPr>
            <w:tcW w:type="dxa" w:w="316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146</w:t>
            </w:r>
          </w:p>
        </w:tc>
        <w:tc>
          <w:tcPr>
            <w:tcW w:type="dxa" w:w="216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181</w:t>
            </w:r>
          </w:p>
        </w:tc>
      </w:tr>
    </w:tbl>
    <w:p>
      <w:pPr>
        <w:spacing w:after="160"/>
      </w:pPr>
      <w:r>
        <w:rPr>
          <w:color w:val="000000"/>
          <w:sz w:val="18"/>
        </w:rPr>
        <w:t>The paired change is 100 × (4 − 22)/181 = −9.9448 percentage points for M61 minus M56. Discordant pairs, rather than all 2896 outputs, determine the exact paired test.</w:t>
      </w:r>
    </w:p>
    <w:p>
      <w:r>
        <w:rPr>
          <w:color w:val="000000"/>
        </w:rPr>
        <w:t>The two-sided exact McNemar p value is twice the lower-tail probability at the smaller discordant count in a Binomial(26, 0.5) distribution, capped at one. For Table S2 the raw value is 0.00053352; Holm adjustment over the 24 primary version comparisons gives 0.01067042. Every paired comparison exports both discordant counts, the shared match count, its denominator and the raw and adjusted values. Cochran Q tests the eight binary condition outcomes jointly within a version; its 18-test family spans the two recordings, their pooled summary and three endpoints.</w:t>
      </w:r>
    </w:p>
    <w:p>
      <w:r>
        <w:rPr>
          <w:color w:val="000000"/>
        </w:rPr>
        <w:t>For Holm adjustment, p values are sorted within the declared family. Each is multiplied by the number of tests remaining at its rank; adjusted values are made nondecreasing and capped at one. Families were fixed for this reported reanalysis, without selecting a smaller family around the comparisons with favourable results. Separate families represent different scientific endpoints; they do not provide experiment-wide error control over every exploratory analysis. Nominal intervals are unadjusted for multiplicity.</w:t>
      </w:r>
    </w:p>
    <w:p>
      <w:pPr>
        <w:pStyle w:val="Caption"/>
        <w:keepNext/>
      </w:pPr>
      <w:r>
        <w:rPr>
          <w:color w:val="000000"/>
        </w:rPr>
        <w:t>Table S3 Multiplicity families used in the reported reanalysis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480"/>
        <w:gridCol w:w="1152"/>
        <w:gridCol w:w="2304"/>
      </w:tblGrid>
      <w:tr>
        <w:trPr>
          <w:tblHeader/>
          <w:cantSplit/>
        </w:trPr>
        <w:tc>
          <w:tcPr>
            <w:tcW w:type="dxa" w:w="6480"/>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Family</w:t>
            </w:r>
          </w:p>
        </w:tc>
        <w:tc>
          <w:tcPr>
            <w:tcW w:type="dxa" w:w="115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Tests</w:t>
            </w:r>
          </w:p>
        </w:tc>
        <w:tc>
          <w:tcPr>
            <w:tcW w:type="dxa" w:w="230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Adjustment</w:t>
            </w:r>
          </w:p>
        </w:tc>
      </w:tr>
      <w:tr>
        <w:trPr>
          <w:cantSplit/>
        </w:trPr>
        <w:tc>
          <w:tcPr>
            <w:tcW w:type="dxa" w:w="64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H1_version_posture</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24</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secondary_complete</w:t>
            </w:r>
          </w:p>
        </w:tc>
        <w:tc>
          <w:tcPr>
            <w:tcW w:type="dxa" w:w="11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66</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secondary_action</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66</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H2_component_agreement</w:t>
            </w:r>
          </w:p>
        </w:tc>
        <w:tc>
          <w:tcPr>
            <w:tcW w:type="dxa" w:w="11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216</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H3_information_posture</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42</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secondary_component_information</w:t>
            </w:r>
          </w:p>
        </w:tc>
        <w:tc>
          <w:tcPr>
            <w:tcW w:type="dxa" w:w="11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126</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H4_illuminance</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288</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omnibus_sensitivity</w:t>
            </w:r>
          </w:p>
        </w:tc>
        <w:tc>
          <w:tcPr>
            <w:tcW w:type="dxa" w:w="11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18</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Holm</w:t>
            </w:r>
          </w:p>
        </w:tc>
      </w:tr>
      <w:tr>
        <w:trPr>
          <w:cantSplit/>
        </w:trPr>
        <w:tc>
          <w:tcPr>
            <w:tcW w:type="dxa" w:w="648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shared_complete_sensitivity</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24</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Holm</w:t>
            </w:r>
          </w:p>
        </w:tc>
      </w:tr>
    </w:tbl>
    <w:p>
      <w:pPr>
        <w:spacing w:after="160"/>
      </w:pPr>
      <w:r>
        <w:rPr>
          <w:color w:val="000000"/>
          <w:sz w:val="18"/>
        </w:rPr>
        <w:t>H2 combines 72 component-specific version comparisons with 144 within-version component comparisons. The illuminance family contains 3 recording summaries × 2 versions × 8 conditions × 6 endpoints. The pooled summary reuses observations and is not an independent replication.</w:t>
      </w:r>
    </w:p>
    <w:p>
      <w:pPr>
        <w:pStyle w:val="Heading1"/>
      </w:pPr>
      <w:r>
        <w:rPr>
          <w:color w:val="000000"/>
        </w:rPr>
        <w:t>S3 Completion category agreement and reference sensitivity</w:t>
      </w:r>
    </w:p>
    <w:p>
      <w:r>
        <w:rPr>
          <w:color w:val="000000"/>
        </w:rPr>
        <w:t>Table S4 supplies completion and selected-subset quantities for the pooled common-reference comparison. These complement the recording-specific primary counts in main Table 3. Full recording-specific conditional values, all reference presentations, action outcomes and nominal Wilson limits are in performance.csv. The Wilson intervals assume independent frames; they do not estimate uncertainty for a new worker or an independently repeated session.</w:t>
      </w:r>
    </w:p>
    <w:p>
      <w:pPr>
        <w:pStyle w:val="Caption"/>
        <w:keepNext/>
      </w:pPr>
      <w:r>
        <w:rPr>
          <w:color w:val="000000"/>
        </w:rPr>
        <w:t>Table S4 Pooled completion conditional agreement and nominal intervals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64"/>
        <w:gridCol w:w="720"/>
        <w:gridCol w:w="1512"/>
        <w:gridCol w:w="1224"/>
        <w:gridCol w:w="1656"/>
        <w:gridCol w:w="1440"/>
        <w:gridCol w:w="2520"/>
      </w:tblGrid>
      <w:tr>
        <w:trPr>
          <w:tblHeader/>
          <w:cantSplit/>
        </w:trPr>
        <w:tc>
          <w:tcPr>
            <w:tcW w:type="dxa" w:w="864"/>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Version</w:t>
            </w:r>
          </w:p>
        </w:tc>
        <w:tc>
          <w:tcPr>
            <w:tcW w:type="dxa" w:w="72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Cond.</w:t>
            </w:r>
          </w:p>
        </w:tc>
        <w:tc>
          <w:tcPr>
            <w:tcW w:type="dxa" w:w="151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Complete /181</w:t>
            </w:r>
          </w:p>
        </w:tc>
        <w:tc>
          <w:tcPr>
            <w:tcW w:type="dxa" w:w="122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Exact /181</w:t>
            </w:r>
          </w:p>
        </w:tc>
        <w:tc>
          <w:tcPr>
            <w:tcW w:type="dxa" w:w="165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Conditional %</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κ complete</w:t>
            </w:r>
          </w:p>
        </w:tc>
        <w:tc>
          <w:tcPr>
            <w:tcW w:type="dxa" w:w="252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Wilson limits %</w:t>
            </w:r>
          </w:p>
        </w:tc>
      </w:tr>
      <w:tr>
        <w:trPr>
          <w:cantSplit/>
        </w:trPr>
        <w:tc>
          <w:tcPr>
            <w:tcW w:type="dxa" w:w="864"/>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w:t>
            </w:r>
          </w:p>
        </w:tc>
        <w:tc>
          <w:tcPr>
            <w:tcW w:type="dxa" w:w="151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160</w:t>
            </w:r>
          </w:p>
        </w:tc>
        <w:tc>
          <w:tcPr>
            <w:tcW w:type="dxa" w:w="122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53</w:t>
            </w:r>
          </w:p>
        </w:tc>
        <w:tc>
          <w:tcPr>
            <w:tcW w:type="dxa" w:w="165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33.1</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0.285</w:t>
            </w:r>
          </w:p>
        </w:tc>
        <w:tc>
          <w:tcPr>
            <w:tcW w:type="dxa" w:w="252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23.1 to 36.3</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165</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47</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28.5</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0.239</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20.1 to 32.8</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174</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57</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32.8</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0.277</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25.2 to 38.6</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167</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59</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35.3</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0.308</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26.2 to 39.7</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176</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58</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33.0</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0.283</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25.7 to 39.2</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165</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55</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33.3</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0.280</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24.2 to 37.4</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168</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49</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29.2</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0.242</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21.1 to 34.0</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M56</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179</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50</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27.9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0.235</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21.6 to 34.6</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57</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35</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61.4</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0.557</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14.2 to 25.7</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61</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25</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41.0</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0.339</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9.5 to 19.6</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89</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48</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53.9</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0.467</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20.6 to 33.4</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95</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50</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52.6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0.465</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21.6 to 34.6</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95</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44</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46.3</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0.388</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18.6 to 31.1</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88</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47</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53.4</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0.460</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20.1 to 32.8</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92</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42</w:t>
            </w:r>
          </w:p>
        </w:tc>
        <w:tc>
          <w:tcPr>
            <w:tcW w:type="dxa" w:w="165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45.7</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0.386</w:t>
            </w:r>
          </w:p>
        </w:tc>
        <w:tc>
          <w:tcPr>
            <w:tcW w:type="dxa" w:w="25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17.7 to 29.9</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M61</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58</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27</w:t>
            </w:r>
          </w:p>
        </w:tc>
        <w:tc>
          <w:tcPr>
            <w:tcW w:type="dxa" w:w="165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46.6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0.396</w:t>
            </w:r>
          </w:p>
        </w:tc>
        <w:tc>
          <w:tcPr>
            <w:tcW w:type="dxa" w:w="25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10.5 to 20.8</w:t>
            </w:r>
          </w:p>
        </w:tc>
      </w:tr>
    </w:tbl>
    <w:p>
      <w:pPr>
        <w:spacing w:after="160"/>
      </w:pPr>
      <w:r>
        <w:rPr>
          <w:color w:val="000000"/>
          <w:sz w:val="18"/>
        </w:rPr>
        <w:t>Original outputs against paired-image consensus. The nominal intervals refer to all-frame exact agreement, not the conditional percentage. Complete denominators vary across versions.</w:t>
      </w:r>
    </w:p>
    <w:p>
      <w:pPr>
        <w:pStyle w:val="Caption"/>
        <w:keepNext/>
      </w:pPr>
      <w:r>
        <w:rPr>
          <w:color w:val="000000"/>
        </w:rPr>
        <w:t>Table S5 Version agreement restricted to the same completed frames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792"/>
        <w:gridCol w:w="1224"/>
        <w:gridCol w:w="1440"/>
        <w:gridCol w:w="1440"/>
        <w:gridCol w:w="2664"/>
      </w:tblGrid>
      <w:tr>
        <w:trPr>
          <w:tblHeader/>
          <w:cantSplit/>
        </w:trPr>
        <w:tc>
          <w:tcPr>
            <w:tcW w:type="dxa" w:w="2376"/>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Recording</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Cond.</w:t>
            </w:r>
          </w:p>
        </w:tc>
        <w:tc>
          <w:tcPr>
            <w:tcW w:type="dxa" w:w="122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Shared n</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M56 exact</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exact</w:t>
            </w:r>
          </w:p>
        </w:tc>
        <w:tc>
          <w:tcPr>
            <w:tcW w:type="dxa" w:w="266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minus M56 pp</w:t>
            </w:r>
          </w:p>
        </w:tc>
      </w:tr>
      <w:tr>
        <w:trPr>
          <w:cantSplit/>
        </w:trPr>
        <w:tc>
          <w:tcPr>
            <w:tcW w:type="dxa" w:w="237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w:t>
            </w:r>
          </w:p>
        </w:tc>
        <w:tc>
          <w:tcPr>
            <w:tcW w:type="dxa" w:w="122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16</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11</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11</w:t>
            </w:r>
          </w:p>
        </w:tc>
        <w:tc>
          <w:tcPr>
            <w:tcW w:type="dxa" w:w="266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+0.0</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14</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15</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+2.8</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32</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19</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20</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+3.1</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37</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20</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20</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+0.0</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33</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20</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19</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-3.0</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19</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+0.0</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28</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14</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18</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+14.3</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9</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+15.8</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38</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22</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+2.6</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24</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10</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+16.7</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54</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23</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27</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+7.4</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57</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32</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30</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-3.5</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62</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20</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25</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+8.1</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6</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55</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25</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28</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+5.5</w:t>
            </w:r>
          </w:p>
        </w:tc>
      </w:tr>
      <w:tr>
        <w:trPr>
          <w:cantSplit/>
        </w:trPr>
        <w:tc>
          <w:tcPr>
            <w:tcW w:type="dxa" w:w="237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63</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22</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24</w:t>
            </w:r>
          </w:p>
        </w:tc>
        <w:tc>
          <w:tcPr>
            <w:tcW w:type="dxa" w:w="26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+3.2</w:t>
            </w:r>
          </w:p>
        </w:tc>
      </w:tr>
      <w:tr>
        <w:trPr>
          <w:cantSplit/>
        </w:trPr>
        <w:tc>
          <w:tcPr>
            <w:tcW w:type="dxa" w:w="237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18</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18</w:t>
            </w:r>
          </w:p>
        </w:tc>
        <w:tc>
          <w:tcPr>
            <w:tcW w:type="dxa" w:w="26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+0.0</w:t>
            </w:r>
          </w:p>
        </w:tc>
      </w:tr>
    </w:tbl>
    <w:p>
      <w:pPr>
        <w:spacing w:after="160"/>
      </w:pPr>
      <w:r>
        <w:rPr>
          <w:color w:val="000000"/>
          <w:sz w:val="18"/>
        </w:rPr>
        <w:t>The common completed subset is selected by both outputs and omits cases requiring resolution. It is not a substitute for all-frame performance. The full 24-test adjusted sensitivity family is in shared_complete_tests.csv.</w:t>
      </w:r>
    </w:p>
    <w:p>
      <w:r>
        <w:rPr>
          <w:color w:val="000000"/>
        </w:rPr>
        <w:t>The reference_composition.csv file reports all category counts overall and by lux. reference_agreement.csv reports pairwise agreement and nominal kappa between consensus presentations. These are not expert–expert reliability estimates. Category rows with absent reference classes are retained as undefined estimates rather than zero accuracy. Table S6 illustrates category recovery in the original paired-image condition; the full 2016 category cells include precision, recall, F1 and unresolved reference cases.</w:t>
      </w:r>
    </w:p>
    <w:p>
      <w:pPr>
        <w:pStyle w:val="Caption"/>
        <w:keepNext/>
      </w:pPr>
      <w:r>
        <w:rPr>
          <w:color w:val="000000"/>
        </w:rPr>
        <w:t>Table S6 Category recall in paired image Condition 3</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944"/>
        <w:gridCol w:w="1944"/>
        <w:gridCol w:w="1973"/>
        <w:gridCol w:w="1987"/>
      </w:tblGrid>
      <w:tr>
        <w:trPr>
          <w:tblHeader/>
          <w:cantSplit/>
        </w:trPr>
        <w:tc>
          <w:tcPr>
            <w:tcW w:type="dxa" w:w="2088"/>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Reference category</w:t>
            </w:r>
          </w:p>
        </w:tc>
        <w:tc>
          <w:tcPr>
            <w:tcW w:type="dxa" w:w="194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Coverall M56</w:t>
            </w:r>
          </w:p>
        </w:tc>
        <w:tc>
          <w:tcPr>
            <w:tcW w:type="dxa" w:w="194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Coverall M61</w:t>
            </w:r>
          </w:p>
        </w:tc>
        <w:tc>
          <w:tcPr>
            <w:tcW w:type="dxa" w:w="1973"/>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Everyday M56</w:t>
            </w:r>
          </w:p>
        </w:tc>
        <w:tc>
          <w:tcPr>
            <w:tcW w:type="dxa" w:w="1987"/>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Everyday M61</w:t>
            </w:r>
          </w:p>
        </w:tc>
      </w:tr>
      <w:tr>
        <w:trPr>
          <w:cantSplit/>
        </w:trPr>
        <w:tc>
          <w:tcPr>
            <w:tcW w:type="dxa" w:w="2088"/>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Back 1</w:t>
            </w:r>
          </w:p>
        </w:tc>
        <w:tc>
          <w:tcPr>
            <w:tcW w:type="dxa" w:w="194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18/18 (100.0)</w:t>
            </w:r>
          </w:p>
        </w:tc>
        <w:tc>
          <w:tcPr>
            <w:tcW w:type="dxa" w:w="194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18/18 (100.0)</w:t>
            </w:r>
          </w:p>
        </w:tc>
        <w:tc>
          <w:tcPr>
            <w:tcW w:type="dxa" w:w="1973"/>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25/26 (96.2)</w:t>
            </w:r>
          </w:p>
        </w:tc>
        <w:tc>
          <w:tcPr>
            <w:tcW w:type="dxa" w:w="1987"/>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26/26 (100.0)</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Back 2</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22/35 (62.9)</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31/35 (88.6)</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22/29 (75.9)</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22/29 (75.9)</w:t>
            </w:r>
          </w:p>
        </w:tc>
      </w:tr>
      <w:tr>
        <w:trPr>
          <w:cantSplit/>
        </w:trPr>
        <w:tc>
          <w:tcPr>
            <w:tcW w:type="dxa" w:w="2088"/>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Back 3</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0/8 (0.0)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0/8 (0.0)</w:t>
            </w:r>
          </w:p>
        </w:tc>
        <w:tc>
          <w:tcPr>
            <w:tcW w:type="dxa" w:w="1973"/>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0/15 (0.0)</w:t>
            </w:r>
          </w:p>
        </w:tc>
        <w:tc>
          <w:tcPr>
            <w:tcW w:type="dxa" w:w="1987"/>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6/15 (40.0)</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Back 4</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0/8 (0.0)</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0/8 (0.0)</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0/42 (0.0)</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13/42 (31.0)</w:t>
            </w:r>
          </w:p>
        </w:tc>
      </w:tr>
      <w:tr>
        <w:trPr>
          <w:cantSplit/>
        </w:trPr>
        <w:tc>
          <w:tcPr>
            <w:tcW w:type="dxa" w:w="2088"/>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Arms 1</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60/61 (98.4)</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61/61 (100.0)</w:t>
            </w:r>
          </w:p>
        </w:tc>
        <w:tc>
          <w:tcPr>
            <w:tcW w:type="dxa" w:w="1973"/>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79/85 (92.9)</w:t>
            </w:r>
          </w:p>
        </w:tc>
        <w:tc>
          <w:tcPr>
            <w:tcW w:type="dxa" w:w="1987"/>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85/85 (100.0)</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Arms 2</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4/6 (66.7)</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2/6 (33.3)</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3/14 (21.4)</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3/14 (21.4)</w:t>
            </w:r>
          </w:p>
        </w:tc>
      </w:tr>
      <w:tr>
        <w:trPr>
          <w:cantSplit/>
        </w:trPr>
        <w:tc>
          <w:tcPr>
            <w:tcW w:type="dxa" w:w="2088"/>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Arms 3</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2/2 (100.0)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 (0.0)</w:t>
            </w:r>
          </w:p>
        </w:tc>
        <w:tc>
          <w:tcPr>
            <w:tcW w:type="dxa" w:w="1973"/>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6/13 (46.2)</w:t>
            </w:r>
          </w:p>
        </w:tc>
        <w:tc>
          <w:tcPr>
            <w:tcW w:type="dxa" w:w="1987"/>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5/13 (38.5)</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Legs 2</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9/9 (100.0)</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8/9 (88.9)</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32/32 (100.0)</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30/32 (93.8)</w:t>
            </w:r>
          </w:p>
        </w:tc>
      </w:tr>
      <w:tr>
        <w:trPr>
          <w:cantSplit/>
        </w:trPr>
        <w:tc>
          <w:tcPr>
            <w:tcW w:type="dxa" w:w="2088"/>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Legs 3</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0/27 (0.0)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0/27 (0.0)</w:t>
            </w:r>
          </w:p>
        </w:tc>
        <w:tc>
          <w:tcPr>
            <w:tcW w:type="dxa" w:w="1973"/>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4/37 (10.8)</w:t>
            </w:r>
          </w:p>
        </w:tc>
        <w:tc>
          <w:tcPr>
            <w:tcW w:type="dxa" w:w="1987"/>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1/37 (2.7)</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Legs 4</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14/16 (87.5)</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15/16 (93.8)</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11/17 (64.7)</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11/17 (64.7)</w:t>
            </w:r>
          </w:p>
        </w:tc>
      </w:tr>
      <w:tr>
        <w:trPr>
          <w:cantSplit/>
        </w:trPr>
        <w:tc>
          <w:tcPr>
            <w:tcW w:type="dxa" w:w="2088"/>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8"/>
              </w:rPr>
              <w:t>Legs 5</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0/5 (0.0)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0/5 (0.0)</w:t>
            </w:r>
          </w:p>
        </w:tc>
        <w:tc>
          <w:tcPr>
            <w:tcW w:type="dxa" w:w="1973"/>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0/13 (0.0)</w:t>
            </w:r>
          </w:p>
        </w:tc>
        <w:tc>
          <w:tcPr>
            <w:tcW w:type="dxa" w:w="1987"/>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8"/>
              </w:rPr>
              <w:t>0/13 (0.0)</w:t>
            </w:r>
          </w:p>
        </w:tc>
      </w:tr>
      <w:tr>
        <w:trPr>
          <w:cantSplit/>
        </w:trPr>
        <w:tc>
          <w:tcPr>
            <w:tcW w:type="dxa" w:w="2088"/>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8"/>
              </w:rPr>
              <w:t>Legs 7</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8/12 (66.7)</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0/12 (0.0)</w:t>
            </w:r>
          </w:p>
        </w:tc>
        <w:tc>
          <w:tcPr>
            <w:tcW w:type="dxa" w:w="1973"/>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9/13 (69.2)</w:t>
            </w:r>
          </w:p>
        </w:tc>
        <w:tc>
          <w:tcPr>
            <w:tcW w:type="dxa" w:w="1987"/>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8"/>
              </w:rPr>
              <w:t>0/13 (0.0)</w:t>
            </w:r>
          </w:p>
        </w:tc>
      </w:tr>
    </w:tbl>
    <w:p>
      <w:pPr>
        <w:spacing w:after="160"/>
      </w:pPr>
      <w:r>
        <w:rPr>
          <w:color w:val="000000"/>
          <w:sz w:val="18"/>
        </w:rPr>
        <w:t>Each value is matching n/reference N (%), including NA as a nonmatch. Sitting and kneeling categories were absent in both recordings. Issued-label precision and full confusion counts are in category_performance.csv and confusion_matrices.csv.</w:t>
      </w:r>
    </w:p>
    <w:p>
      <w:pPr>
        <w:pStyle w:val="Caption"/>
        <w:keepNext/>
      </w:pPr>
      <w:r>
        <w:rPr>
          <w:color w:val="000000"/>
        </w:rPr>
        <w:t>Table S7 Primary version comparisons and full correction family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720"/>
        <w:gridCol w:w="792"/>
        <w:gridCol w:w="792"/>
        <w:gridCol w:w="1440"/>
        <w:gridCol w:w="1944"/>
        <w:gridCol w:w="2016"/>
      </w:tblGrid>
      <w:tr>
        <w:trPr>
          <w:tblHeader/>
          <w:cantSplit/>
        </w:trPr>
        <w:tc>
          <w:tcPr>
            <w:tcW w:type="dxa" w:w="2232"/>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Recording</w:t>
            </w:r>
          </w:p>
        </w:tc>
        <w:tc>
          <w:tcPr>
            <w:tcW w:type="dxa" w:w="72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Cond.</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Gain</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Loss</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Delta pp</w:t>
            </w:r>
          </w:p>
        </w:tc>
        <w:tc>
          <w:tcPr>
            <w:tcW w:type="dxa" w:w="194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Raw p</w:t>
            </w:r>
          </w:p>
        </w:tc>
        <w:tc>
          <w:tcPr>
            <w:tcW w:type="dxa" w:w="201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Holm p</w:t>
            </w:r>
          </w:p>
        </w:tc>
      </w:tr>
      <w:tr>
        <w:trPr>
          <w:cantSplit/>
        </w:trPr>
        <w:tc>
          <w:tcPr>
            <w:tcW w:type="dxa" w:w="223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7</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-7.2</w:t>
            </w:r>
          </w:p>
        </w:tc>
        <w:tc>
          <w:tcPr>
            <w:tcW w:type="dxa" w:w="194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0.1797</w:t>
            </w:r>
          </w:p>
        </w:tc>
        <w:tc>
          <w:tcPr>
            <w:tcW w:type="dxa" w:w="201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-2.9</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0.7539</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-8.7</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0.0703</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0.9844</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-1.4</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-14.5</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0.0020</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0.0371</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-4.3</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0.2500</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-8.7</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0.1460</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15</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-11.6</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0.0023</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0.0423</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24</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-17.9</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0.0002</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0.0040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-2.7</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0.6291</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-7.1</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0.0078</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0.1172</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-3.6</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0.4240</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-4.5</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0.3018</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-6.2</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0.1185</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18</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-15.2</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&lt;0.0001</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0.0018</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22</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-9.9</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0.0005</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0.0107</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30</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-12.2</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0.0005</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0.0099</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17</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-5.0</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0.1078</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-5.0</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0.0039</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0.0664</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19</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-7.7</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0.0066</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0.1058</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-4.4</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0.0963</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15</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-3.9</w:t>
            </w:r>
          </w:p>
        </w:tc>
        <w:tc>
          <w:tcPr>
            <w:tcW w:type="dxa" w:w="194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0.2100</w:t>
            </w:r>
          </w:p>
        </w:tc>
        <w:tc>
          <w:tcPr>
            <w:tcW w:type="dxa" w:w="201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72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27</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-12.7</w:t>
            </w:r>
          </w:p>
        </w:tc>
        <w:tc>
          <w:tcPr>
            <w:tcW w:type="dxa" w:w="194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&lt;0.0001</w:t>
            </w:r>
          </w:p>
        </w:tc>
        <w:tc>
          <w:tcPr>
            <w:tcW w:type="dxa" w:w="201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0.0008</w:t>
            </w:r>
          </w:p>
        </w:tc>
      </w:tr>
    </w:tbl>
    <w:p>
      <w:pPr>
        <w:spacing w:after="160"/>
      </w:pPr>
      <w:r>
        <w:rPr>
          <w:color w:val="000000"/>
          <w:sz w:val="18"/>
        </w:rPr>
        <w:t>M61 is B and M56 is A: gain means M56 nonmatching/NA becomes M61 exact. All 24 rows share one Holm family. Frame-independent sensitivity only; a small p value is not a population or causal version effect.</w:t>
      </w:r>
    </w:p>
    <w:p>
      <w:pPr>
        <w:pStyle w:val="Heading1"/>
      </w:pPr>
      <w:r>
        <w:rPr>
          <w:color w:val="000000"/>
        </w:rPr>
        <w:t>S4 Information changes and dependence sensitivity</w:t>
      </w:r>
    </w:p>
    <w:p>
      <w:r>
        <w:rPr>
          <w:color w:val="000000"/>
        </w:rPr>
        <w:t>The information comparisons preserve the current image set within each directed contrast. Conditions 1 to 3 and 2 to 3 add an image. Conditions 3 to 4–6, 1 to 7 and 2 to 8 add previous AI codes. An output can move between exact, completed mismatch and unresolved states; the complete transitions are retained frame by frame. Net changes alone should not be read as the number of corrected completed errors.</w:t>
      </w:r>
    </w:p>
    <w:p>
      <w:pPr>
        <w:pStyle w:val="Caption"/>
        <w:keepNext/>
      </w:pPr>
      <w:r>
        <w:rPr>
          <w:color w:val="000000"/>
        </w:rPr>
        <w:t>Table S8 Recording specific primary information contrasts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864"/>
        <w:gridCol w:w="1440"/>
        <w:gridCol w:w="792"/>
        <w:gridCol w:w="792"/>
        <w:gridCol w:w="1584"/>
        <w:gridCol w:w="2232"/>
      </w:tblGrid>
      <w:tr>
        <w:trPr>
          <w:tblHeader/>
          <w:cantSplit/>
        </w:trPr>
        <w:tc>
          <w:tcPr>
            <w:tcW w:type="dxa" w:w="2232"/>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Recording</w:t>
            </w:r>
          </w:p>
        </w:tc>
        <w:tc>
          <w:tcPr>
            <w:tcW w:type="dxa" w:w="86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Version</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Conditions</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Gain</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Loss</w:t>
            </w:r>
          </w:p>
        </w:tc>
        <w:tc>
          <w:tcPr>
            <w:tcW w:type="dxa" w:w="158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Delta pp</w:t>
            </w:r>
          </w:p>
        </w:tc>
        <w:tc>
          <w:tcPr>
            <w:tcW w:type="dxa" w:w="223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Holm p</w:t>
            </w:r>
          </w:p>
        </w:tc>
      </w:tr>
      <w:tr>
        <w:trPr>
          <w:cantSplit/>
        </w:trPr>
        <w:tc>
          <w:tcPr>
            <w:tcW w:type="dxa" w:w="223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 to 3</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0</w:t>
            </w:r>
          </w:p>
        </w:tc>
        <w:tc>
          <w:tcPr>
            <w:tcW w:type="dxa" w:w="158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+11.6</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0.3125</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-7.2</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5</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+4.3</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6</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-5.8</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7</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8</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-2.9</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+10.1</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12</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+7.2</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-1.4</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6</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-1.4</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 to 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+7.2</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-8.7</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 to 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-3.6</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+0.9</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4</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+6.2</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5</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-1.8</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6</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+1.8</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7</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-3.6</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8</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+4.5</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3</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+5.4</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3</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19</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+16.1</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0.0017</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4</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+1.8</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5</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-2.7</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6</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 to 7</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+1.8</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1.0000</w:t>
            </w:r>
          </w:p>
        </w:tc>
      </w:tr>
      <w:tr>
        <w:trPr>
          <w:cantSplit/>
        </w:trPr>
        <w:tc>
          <w:tcPr>
            <w:tcW w:type="dxa" w:w="2232"/>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86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44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8</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+7.1</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1.0000</w:t>
            </w:r>
          </w:p>
        </w:tc>
      </w:tr>
    </w:tbl>
    <w:p>
      <w:pPr>
        <w:spacing w:after="160"/>
      </w:pPr>
      <w:r>
        <w:rPr>
          <w:color w:val="000000"/>
          <w:sz w:val="18"/>
        </w:rPr>
        <w:t>The 28 displayed recording-specific contrasts and 14 pooled contrasts share the 42-test primary information family. Raw p values and all six endpoints are in information_tests.csv. Gain/loss calculations count unresolved outputs explicitly.</w:t>
      </w:r>
    </w:p>
    <w:p>
      <w:r>
        <w:rPr>
          <w:color w:val="000000"/>
        </w:rPr>
        <w:t>The ordered resampling keeps the entire 16-output vector for each frame together. Each recording-by-lux stratum retains its observed number of selected frames. For block length L, uniformly sampled starts in identifier order define circular blocks of L adjacent selected frames; sampled blocks are concatenated and truncated to the stratum size. Circular wrapping gives each selected position equal sampling probability. This is an explicit sensitivity assumption about selected-frame order, not a reconstruction of continuous-time dependence. Local stationarity, the time between selected frames and acquisition-period replication remain unverified.</w:t>
      </w:r>
    </w:p>
    <w:p>
      <w:r>
        <w:rPr>
          <w:color w:val="000000"/>
        </w:rPr>
        <w:t>Three block lengths, 1, 3 and 5, were examined with 10000 replicates each, using NumPy default_rng seeds 20261028, 20261030 and 20261032. Block length 1 resamples whole frames independently within strata; it does not split model/condition outputs. Percentile limits are the 2.5th and 97.5th empirical percentiles. They are pointwise, conditional and not simultaneous bands. A zero-width interval in a constant observed outcome does not establish certainty about future observations. The calculation assesses sensitivity to these local order assumptions and cannot supply missing worker or session replication.</w:t>
      </w:r>
    </w:p>
    <w:p>
      <w:pPr>
        <w:pStyle w:val="Caption"/>
        <w:keepNext/>
      </w:pPr>
      <w:r>
        <w:rPr>
          <w:color w:val="000000"/>
        </w:rPr>
        <w:t>Table S9 Ordered frame sensitivity intervals for pooled version differences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2232"/>
        <w:gridCol w:w="2304"/>
        <w:gridCol w:w="2304"/>
        <w:gridCol w:w="2304"/>
      </w:tblGrid>
      <w:tr>
        <w:trPr>
          <w:tblHeader/>
          <w:cantSplit/>
        </w:trPr>
        <w:tc>
          <w:tcPr>
            <w:tcW w:type="dxa" w:w="792"/>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Cond.</w:t>
            </w:r>
          </w:p>
        </w:tc>
        <w:tc>
          <w:tcPr>
            <w:tcW w:type="dxa" w:w="223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minus M56 pp</w:t>
            </w:r>
          </w:p>
        </w:tc>
        <w:tc>
          <w:tcPr>
            <w:tcW w:type="dxa" w:w="230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Length 1</w:t>
            </w:r>
          </w:p>
        </w:tc>
        <w:tc>
          <w:tcPr>
            <w:tcW w:type="dxa" w:w="230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Length 3</w:t>
            </w:r>
          </w:p>
        </w:tc>
        <w:tc>
          <w:tcPr>
            <w:tcW w:type="dxa" w:w="230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Length 5</w:t>
            </w:r>
          </w:p>
        </w:tc>
      </w:tr>
      <w:tr>
        <w:trPr>
          <w:cantSplit/>
        </w:trPr>
        <w:tc>
          <w:tcPr>
            <w:tcW w:type="dxa" w:w="79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1</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-9.9</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-14.9 to -5.0</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-14.9 to -5.0</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-14.9 to -5.0</w:t>
            </w:r>
          </w:p>
        </w:tc>
      </w:tr>
      <w:tr>
        <w:trPr>
          <w:cantSplit/>
        </w:trPr>
        <w:tc>
          <w:tcPr>
            <w:tcW w:type="dxa" w:w="792"/>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2</w:t>
            </w:r>
          </w:p>
        </w:tc>
        <w:tc>
          <w:tcPr>
            <w:tcW w:type="dxa" w:w="223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-12.2</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-18.2 to -6.1</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-19.3 to -5.5</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-19.9 to -5.0</w:t>
            </w:r>
          </w:p>
        </w:tc>
      </w:tr>
      <w:tr>
        <w:trPr>
          <w:cantSplit/>
        </w:trPr>
        <w:tc>
          <w:tcPr>
            <w:tcW w:type="dxa" w:w="79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3</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-5.0</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-10.5 to 0.6</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-9.9 to 0.0</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-9.9 to 0.0</w:t>
            </w:r>
          </w:p>
        </w:tc>
      </w:tr>
      <w:tr>
        <w:trPr>
          <w:cantSplit/>
        </w:trPr>
        <w:tc>
          <w:tcPr>
            <w:tcW w:type="dxa" w:w="792"/>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4</w:t>
            </w:r>
          </w:p>
        </w:tc>
        <w:tc>
          <w:tcPr>
            <w:tcW w:type="dxa" w:w="223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-5.0</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-8.3 to -2.2</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-8.3 to -2.2</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-8.3 to -2.2</w:t>
            </w:r>
          </w:p>
        </w:tc>
      </w:tr>
      <w:tr>
        <w:trPr>
          <w:cantSplit/>
        </w:trPr>
        <w:tc>
          <w:tcPr>
            <w:tcW w:type="dxa" w:w="79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5</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-7.7</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-12.7 to -2.8</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-12.2 to -3.3</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-12.2 to -3.3</w:t>
            </w:r>
          </w:p>
        </w:tc>
      </w:tr>
      <w:tr>
        <w:trPr>
          <w:cantSplit/>
        </w:trPr>
        <w:tc>
          <w:tcPr>
            <w:tcW w:type="dxa" w:w="792"/>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6</w:t>
            </w:r>
          </w:p>
        </w:tc>
        <w:tc>
          <w:tcPr>
            <w:tcW w:type="dxa" w:w="223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-4.4</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-8.8 to 0.0</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-9.4 to 0.6</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-9.4 to 0.6</w:t>
            </w:r>
          </w:p>
        </w:tc>
      </w:tr>
      <w:tr>
        <w:trPr>
          <w:cantSplit/>
        </w:trPr>
        <w:tc>
          <w:tcPr>
            <w:tcW w:type="dxa" w:w="792"/>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7</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-3.9</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-8.8 to 1.1</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-9.4 to 1.7</w:t>
            </w:r>
          </w:p>
        </w:tc>
        <w:tc>
          <w:tcPr>
            <w:tcW w:type="dxa" w:w="230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-9.4 to 1.7</w:t>
            </w:r>
          </w:p>
        </w:tc>
      </w:tr>
      <w:tr>
        <w:trPr>
          <w:cantSplit/>
        </w:trPr>
        <w:tc>
          <w:tcPr>
            <w:tcW w:type="dxa" w:w="792"/>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8</w:t>
            </w:r>
          </w:p>
        </w:tc>
        <w:tc>
          <w:tcPr>
            <w:tcW w:type="dxa" w:w="223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-12.7</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-18.2 to -7.2</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-18.8 to -6.6</w:t>
            </w:r>
          </w:p>
        </w:tc>
        <w:tc>
          <w:tcPr>
            <w:tcW w:type="dxa" w:w="2304"/>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-19.3 to -7.2</w:t>
            </w:r>
          </w:p>
        </w:tc>
      </w:tr>
    </w:tbl>
    <w:p>
      <w:pPr>
        <w:spacing w:after="160"/>
      </w:pPr>
      <w:r>
        <w:rPr>
          <w:color w:val="000000"/>
          <w:sz w:val="18"/>
        </w:rPr>
        <w:t>Interval endpoints are percentage points. These pointwise intervals do not replace Holm-adjusted tests and are not validated population confidence intervals.</w:t>
      </w:r>
    </w:p>
    <w:p>
      <w:pPr>
        <w:pStyle w:val="Caption"/>
        <w:keepNext/>
      </w:pPr>
      <w:r>
        <w:rPr>
          <w:color w:val="000000"/>
        </w:rPr>
        <w:t>Table S10 Differences between recording specific information changes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64"/>
        <w:gridCol w:w="1296"/>
        <w:gridCol w:w="1584"/>
        <w:gridCol w:w="2059"/>
        <w:gridCol w:w="2059"/>
        <w:gridCol w:w="2074"/>
      </w:tblGrid>
      <w:tr>
        <w:trPr>
          <w:tblHeader/>
          <w:cantSplit/>
        </w:trPr>
        <w:tc>
          <w:tcPr>
            <w:tcW w:type="dxa" w:w="864"/>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Version</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Conditions</w:t>
            </w:r>
          </w:p>
        </w:tc>
        <w:tc>
          <w:tcPr>
            <w:tcW w:type="dxa" w:w="158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Difference pp</w:t>
            </w:r>
          </w:p>
        </w:tc>
        <w:tc>
          <w:tcPr>
            <w:tcW w:type="dxa" w:w="2059"/>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Length 1</w:t>
            </w:r>
          </w:p>
        </w:tc>
        <w:tc>
          <w:tcPr>
            <w:tcW w:type="dxa" w:w="2059"/>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Length 3</w:t>
            </w:r>
          </w:p>
        </w:tc>
        <w:tc>
          <w:tcPr>
            <w:tcW w:type="dxa" w:w="207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Length 5</w:t>
            </w:r>
          </w:p>
        </w:tc>
      </w:tr>
      <w:tr>
        <w:trPr>
          <w:cantSplit/>
        </w:trPr>
        <w:tc>
          <w:tcPr>
            <w:tcW w:type="dxa" w:w="864"/>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 to 3</w:t>
            </w:r>
          </w:p>
        </w:tc>
        <w:tc>
          <w:tcPr>
            <w:tcW w:type="dxa" w:w="158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-15.2</w:t>
            </w:r>
          </w:p>
        </w:tc>
        <w:tc>
          <w:tcPr>
            <w:tcW w:type="dxa" w:w="2059"/>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-24.8 to -6.0</w:t>
            </w:r>
          </w:p>
        </w:tc>
        <w:tc>
          <w:tcPr>
            <w:tcW w:type="dxa" w:w="2059"/>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-24.3 to -6.5</w:t>
            </w:r>
          </w:p>
        </w:tc>
        <w:tc>
          <w:tcPr>
            <w:tcW w:type="dxa" w:w="207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-24.5 to -6.7</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3</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-12.2</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-25.5 to 1.0</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-26.2 to 1.5</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-25.6 to 0.8</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4</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+13.5</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4.5 to 23.0</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5.2 to 22.0</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5.0 to 22.5</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5</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-6.1</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-15.8 to 3.6</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-15.8 to 3.0</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-15.7 to 3.2</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6</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+7.6</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-0.6 to 15.7</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0.3 to 14.8</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0.9 to 14.8</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7</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-3.6</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-13.3 to 6.0</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-13.5 to 6.4</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-12.9 to 5.6</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M56</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8</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+7.4</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-3.5 to 18.4</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-3.1 to 18.2</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-2.0 to 17.2</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 to 3</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-4.8</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-15.1 to 5.4</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-14.3 to 4.6</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-13.3 to 4.0</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 to 3</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+8.8</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-5.2 to 23.0</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-5.3 to 23.3</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-4.6 to 22.8</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4</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+1.8</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-4.5 to 8.0</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-3.6 to 7.1</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-2.7 to 6.2</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 to 5</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-1.2</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-6.8 to 4.9</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-6.8 to 4.3</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-6.5 to 3.5</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 to 6</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+1.4</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 to 4.3</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 to 4.3</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0.0 to 4.3</w:t>
            </w:r>
          </w:p>
        </w:tc>
      </w:tr>
      <w:tr>
        <w:trPr>
          <w:cantSplit/>
        </w:trPr>
        <w:tc>
          <w:tcPr>
            <w:tcW w:type="dxa" w:w="864"/>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 to 7</w:t>
            </w:r>
          </w:p>
        </w:tc>
        <w:tc>
          <w:tcPr>
            <w:tcW w:type="dxa" w:w="158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-5.5</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-15.6 to 4.2</w:t>
            </w:r>
          </w:p>
        </w:tc>
        <w:tc>
          <w:tcPr>
            <w:tcW w:type="dxa" w:w="2059"/>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-14.6 to 3.5</w:t>
            </w:r>
          </w:p>
        </w:tc>
        <w:tc>
          <w:tcPr>
            <w:tcW w:type="dxa" w:w="207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-13.4 to 2.8</w:t>
            </w:r>
          </w:p>
        </w:tc>
      </w:tr>
      <w:tr>
        <w:trPr>
          <w:cantSplit/>
        </w:trPr>
        <w:tc>
          <w:tcPr>
            <w:tcW w:type="dxa" w:w="864"/>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M61</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 to 8</w:t>
            </w:r>
          </w:p>
        </w:tc>
        <w:tc>
          <w:tcPr>
            <w:tcW w:type="dxa" w:w="158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+15.8</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6.5 to 25.6</w:t>
            </w:r>
          </w:p>
        </w:tc>
        <w:tc>
          <w:tcPr>
            <w:tcW w:type="dxa" w:w="2059"/>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7.4 to 24.5</w:t>
            </w:r>
          </w:p>
        </w:tc>
        <w:tc>
          <w:tcPr>
            <w:tcW w:type="dxa" w:w="207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7.7 to 24.3</w:t>
            </w:r>
          </w:p>
        </w:tc>
      </w:tr>
    </w:tbl>
    <w:p>
      <w:pPr>
        <w:spacing w:after="160"/>
      </w:pPr>
      <w:r>
        <w:rPr>
          <w:color w:val="000000"/>
          <w:sz w:val="18"/>
        </w:rPr>
        <w:t>Difference = everyday-workwear change minus coverall change. Intervals are pointwise sensitivity limits. Differences do not isolate clothing. The complete file also contains component, completion and action endpoints.</w:t>
      </w:r>
    </w:p>
    <w:p>
      <w:r>
        <w:rPr>
          <w:color w:val="000000"/>
        </w:rPr>
        <w:t>Pooled rates weight recordings by their frame counts, 69/181 and 112/181. The alternative equal-recording summary is the arithmetic mean of the two recording percentages. For M56 this gives Condition 5 approximately 34.0% and Condition 4 approximately 32.2%, reversing their frame-weighted order. This sensitivity analysis describes how a chosen target mixture changes the summary; it does not identify a universally correct mixture or demonstrate a deployable optimal condition. Values for every version and condition are in recording_weight_sensitivity.csv.</w:t>
      </w:r>
    </w:p>
    <w:p>
      <w:pPr>
        <w:pStyle w:val="Heading1"/>
      </w:pPr>
      <w:r>
        <w:rPr>
          <w:color w:val="000000"/>
        </w:rPr>
        <w:t>S5 Illuminance calculations and composition standardization</w:t>
      </w:r>
    </w:p>
    <w:p>
      <w:r>
        <w:rPr>
          <w:color w:val="000000"/>
        </w:rPr>
        <w:t>For each version/condition/endpoint, the exact illuminance calculation uses a three-by-two success/failure table with row totals for 100, 250 and 400 lux. Conditional on the total number of matches, the probability of a table is proportional to the product of the three binomial coefficients. The two-sided p value sums probabilities of all admissible tables no more likely than the observed table. This is a categorical association calculation, not a linear lux trend test. Independent implementation used arbitrary-precision integer binomial coefficients and reproduced every reported p value.</w:t>
      </w:r>
    </w:p>
    <w:p>
      <w:r>
        <w:rPr>
          <w:color w:val="000000"/>
        </w:rPr>
        <w:t>For example, everyday-workwear M61 Condition 3 has 13/37, 5/36 and 10/39 matching postures at 100, 250 and 400 lux. The corresponding nonmatching counts are 24, 31 and 29. The conditional denominator is the binomial coefficient choosing 28 successes among 112 frames. Enumeration gives raw p = 0.10638811 and adjusted p = 1.0000 in the 288-test family. This calculation does not remove differences in posture, period or visual detail between groups.</w:t>
      </w:r>
    </w:p>
    <w:p>
      <w:r>
        <w:rPr>
          <w:color w:val="000000"/>
        </w:rPr>
        <w:t>Direct component standardization is performed separately for each recording. Only reference categories present at every lux level in that recording are retained. Their weights are their counts in the full recording divided by the sum of counts across retained categories. At each lux level, category-specific matching proportions, with NA retained as a nonmatch, are multiplied by these fixed weights and summed. This assesses measured category composition on common support; it neither extrapolates to absent categories nor adjusts for unmeasured differences within a category.</w:t>
      </w:r>
    </w:p>
    <w:p>
      <w:pPr>
        <w:pStyle w:val="Caption"/>
        <w:keepNext/>
      </w:pPr>
      <w:r>
        <w:rPr>
          <w:color w:val="000000"/>
        </w:rPr>
        <w:t>Table S11 Common category standardized component agreement in Condition 3</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792"/>
        <w:gridCol w:w="1080"/>
        <w:gridCol w:w="1224"/>
        <w:gridCol w:w="1512"/>
        <w:gridCol w:w="1080"/>
        <w:gridCol w:w="1080"/>
        <w:gridCol w:w="1152"/>
      </w:tblGrid>
      <w:tr>
        <w:trPr>
          <w:tblHeader/>
          <w:cantSplit/>
        </w:trPr>
        <w:tc>
          <w:tcPr>
            <w:tcW w:type="dxa" w:w="2016"/>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Recording</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Version</w:t>
            </w:r>
          </w:p>
        </w:tc>
        <w:tc>
          <w:tcPr>
            <w:tcW w:type="dxa" w:w="108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Component</w:t>
            </w:r>
          </w:p>
        </w:tc>
        <w:tc>
          <w:tcPr>
            <w:tcW w:type="dxa" w:w="122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Categories</w:t>
            </w:r>
          </w:p>
        </w:tc>
        <w:tc>
          <w:tcPr>
            <w:tcW w:type="dxa" w:w="151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Reference support</w:t>
            </w:r>
          </w:p>
        </w:tc>
        <w:tc>
          <w:tcPr>
            <w:tcW w:type="dxa" w:w="108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100 lux %</w:t>
            </w:r>
          </w:p>
        </w:tc>
        <w:tc>
          <w:tcPr>
            <w:tcW w:type="dxa" w:w="108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250 lux %</w:t>
            </w:r>
          </w:p>
        </w:tc>
        <w:tc>
          <w:tcPr>
            <w:tcW w:type="dxa" w:w="115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400 lux %</w:t>
            </w:r>
          </w:p>
        </w:tc>
      </w:tr>
      <w:tr>
        <w:trPr>
          <w:cantSplit/>
        </w:trPr>
        <w:tc>
          <w:tcPr>
            <w:tcW w:type="dxa" w:w="201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Back</w:t>
            </w:r>
          </w:p>
        </w:tc>
        <w:tc>
          <w:tcPr>
            <w:tcW w:type="dxa" w:w="122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1|2|3|4</w:t>
            </w:r>
          </w:p>
        </w:tc>
        <w:tc>
          <w:tcPr>
            <w:tcW w:type="dxa" w:w="151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69/69</w:t>
            </w:r>
          </w:p>
        </w:tc>
        <w:tc>
          <w:tcPr>
            <w:tcW w:type="dxa" w:w="10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56.5</w:t>
            </w:r>
          </w:p>
        </w:tc>
        <w:tc>
          <w:tcPr>
            <w:tcW w:type="dxa" w:w="108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59.9</w:t>
            </w:r>
          </w:p>
        </w:tc>
        <w:tc>
          <w:tcPr>
            <w:tcW w:type="dxa" w:w="11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57.8</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Arms</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67/69</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91.0</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94.9</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95.5</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Legs</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2|3|4|5|7</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69/69</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42.0</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35.7</w:t>
            </w:r>
          </w:p>
        </w:tc>
        <w:tc>
          <w:tcPr>
            <w:tcW w:type="dxa" w:w="115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51.1</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Back</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1|2|3|4</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69/69</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66.7</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76.8</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70.5</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Arms</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1|2</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67/69</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91.0</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97.0</w:t>
            </w:r>
          </w:p>
        </w:tc>
        <w:tc>
          <w:tcPr>
            <w:tcW w:type="dxa" w:w="115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91.0</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Legs</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2|3|4|5|7</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69/69</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36.2</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29.4</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36.2</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Back</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1|2|3|4</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112/112</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41.6</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36.2</w:t>
            </w:r>
          </w:p>
        </w:tc>
        <w:tc>
          <w:tcPr>
            <w:tcW w:type="dxa" w:w="115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44.3</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Arms</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1|3</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98/112</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77.4</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93.4</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86.7</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M56</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Legs</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2|3|4|5|7</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112/112</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39.4</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61.9</w:t>
            </w:r>
          </w:p>
        </w:tc>
        <w:tc>
          <w:tcPr>
            <w:tcW w:type="dxa" w:w="115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50.9</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Back</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1|2|3|4</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112/112</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73.4</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58.1</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44.5</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Arms</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1|3</w:t>
            </w:r>
          </w:p>
        </w:tc>
        <w:tc>
          <w:tcPr>
            <w:tcW w:type="dxa" w:w="151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98/112</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96.7</w:t>
            </w:r>
          </w:p>
        </w:tc>
        <w:tc>
          <w:tcPr>
            <w:tcW w:type="dxa" w:w="1080"/>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91.2</w:t>
            </w:r>
          </w:p>
        </w:tc>
        <w:tc>
          <w:tcPr>
            <w:tcW w:type="dxa" w:w="115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86.7</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M61</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Legs</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2|3|4|5|7</w:t>
            </w:r>
          </w:p>
        </w:tc>
        <w:tc>
          <w:tcPr>
            <w:tcW w:type="dxa" w:w="151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112/112</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33.6</w:t>
            </w:r>
          </w:p>
        </w:tc>
        <w:tc>
          <w:tcPr>
            <w:tcW w:type="dxa" w:w="1080"/>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39.5</w:t>
            </w:r>
          </w:p>
        </w:tc>
        <w:tc>
          <w:tcPr>
            <w:tcW w:type="dxa" w:w="115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37.4</w:t>
            </w:r>
          </w:p>
        </w:tc>
      </w:tr>
    </w:tbl>
    <w:p>
      <w:pPr>
        <w:spacing w:after="160"/>
      </w:pPr>
      <w:r>
        <w:rPr>
          <w:color w:val="000000"/>
          <w:sz w:val="18"/>
        </w:rPr>
        <w:t>Reference support counts frames belonging to categories present at all three lux levels. The weighting audit gives each category weight, lux-specific denominator and matching count. This restricted-support result is not an adjusted causal illumination effect.</w:t>
      </w:r>
    </w:p>
    <w:p>
      <w:pPr>
        <w:pStyle w:val="Caption"/>
        <w:keepNext/>
      </w:pPr>
      <w:r>
        <w:rPr>
          <w:color w:val="000000"/>
        </w:rPr>
        <w:t>Table S12 Illuminance associations passing the specified correction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792"/>
        <w:gridCol w:w="720"/>
        <w:gridCol w:w="1008"/>
        <w:gridCol w:w="1296"/>
        <w:gridCol w:w="1296"/>
        <w:gridCol w:w="1296"/>
        <w:gridCol w:w="1440"/>
      </w:tblGrid>
      <w:tr>
        <w:trPr>
          <w:tblHeader/>
          <w:cantSplit/>
        </w:trPr>
        <w:tc>
          <w:tcPr>
            <w:tcW w:type="dxa" w:w="2088"/>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Recording</w:t>
            </w:r>
          </w:p>
        </w:tc>
        <w:tc>
          <w:tcPr>
            <w:tcW w:type="dxa" w:w="79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Version</w:t>
            </w:r>
          </w:p>
        </w:tc>
        <w:tc>
          <w:tcPr>
            <w:tcW w:type="dxa" w:w="72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Cond.</w:t>
            </w:r>
          </w:p>
        </w:tc>
        <w:tc>
          <w:tcPr>
            <w:tcW w:type="dxa" w:w="1008"/>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Endpoint</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100 lux</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250 lux</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400 lux</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Holm p</w:t>
            </w:r>
          </w:p>
        </w:tc>
      </w:tr>
      <w:tr>
        <w:trPr>
          <w:cantSplit/>
        </w:trPr>
        <w:tc>
          <w:tcPr>
            <w:tcW w:type="dxa" w:w="2088"/>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M61</w:t>
            </w:r>
          </w:p>
        </w:tc>
        <w:tc>
          <w:tcPr>
            <w:tcW w:type="dxa" w:w="72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w:t>
            </w:r>
          </w:p>
        </w:tc>
        <w:tc>
          <w:tcPr>
            <w:tcW w:type="dxa" w:w="100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action</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2/37</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1/36</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13/39</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0.0430</w:t>
            </w:r>
          </w:p>
        </w:tc>
      </w:tr>
      <w:tr>
        <w:trPr>
          <w:cantSplit/>
        </w:trPr>
        <w:tc>
          <w:tcPr>
            <w:tcW w:type="dxa" w:w="2088"/>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7"/>
              </w:rPr>
              <w:t>Everyday workwear</w:t>
            </w:r>
          </w:p>
        </w:tc>
        <w:tc>
          <w:tcPr>
            <w:tcW w:type="dxa" w:w="79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M61</w:t>
            </w:r>
          </w:p>
        </w:tc>
        <w:tc>
          <w:tcPr>
            <w:tcW w:type="dxa" w:w="72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8</w:t>
            </w:r>
          </w:p>
        </w:tc>
        <w:tc>
          <w:tcPr>
            <w:tcW w:type="dxa" w:w="100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action</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7/37</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2/36</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18/39</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7"/>
              </w:rPr>
              <w:t>0.0416</w:t>
            </w:r>
          </w:p>
        </w:tc>
      </w:tr>
    </w:tbl>
    <w:p>
      <w:pPr>
        <w:spacing w:after="160"/>
      </w:pPr>
      <w:r>
        <w:rPr>
          <w:color w:val="000000"/>
          <w:sz w:val="18"/>
        </w:rPr>
        <w:t>All 288 tests, including nonsignificant outcomes, are retained in illuminance_tests.csv. No exact-posture comparison passed correction. The displayed associations depend on frame independence and do not establish causality or an acceptable minimum lux.</w:t>
      </w:r>
    </w:p>
    <w:p>
      <w:pPr>
        <w:keepNext/>
        <w:jc w:val="center"/>
      </w:pPr>
      <w:r>
        <w:rPr>
          <w:color w:val="000000"/>
        </w:rPr>
        <w:drawing>
          <wp:inline xmlns:a="http://schemas.openxmlformats.org/drawingml/2006/main" xmlns:pic="http://schemas.openxmlformats.org/drawingml/2006/picture">
            <wp:extent cx="6309360" cy="4545071"/>
            <wp:docPr id="1" name="Picture 1" descr="Figure S1 Original exact-posture agreement at 100, 250 and 400 lux in every information condition. Cell percentages use the lux-specific frame counts: coverall 15, 22 and 32; everyday workwear 37, 36 and 39. The common colour scale is 0–60%. Group composition and recording periods differ, so the cells do not constitute randomized lighting comparisons."/>
            <wp:cNvGraphicFramePr>
              <a:graphicFrameLocks noChangeAspect="1"/>
            </wp:cNvGraphicFramePr>
            <a:graphic>
              <a:graphicData uri="http://schemas.openxmlformats.org/drawingml/2006/picture">
                <pic:pic>
                  <pic:nvPicPr>
                    <pic:cNvPr id="0" name="figureS1_lux_profiles.png"/>
                    <pic:cNvPicPr/>
                  </pic:nvPicPr>
                  <pic:blipFill>
                    <a:blip r:embed="rId10"/>
                    <a:stretch>
                      <a:fillRect/>
                    </a:stretch>
                  </pic:blipFill>
                  <pic:spPr>
                    <a:xfrm>
                      <a:off x="0" y="0"/>
                      <a:ext cx="6309360" cy="4545071"/>
                    </a:xfrm>
                    <a:prstGeom prst="rect"/>
                  </pic:spPr>
                </pic:pic>
              </a:graphicData>
            </a:graphic>
          </wp:inline>
        </w:drawing>
      </w:r>
    </w:p>
    <w:p>
      <w:pPr>
        <w:pStyle w:val="Caption"/>
      </w:pPr>
      <w:r>
        <w:rPr>
          <w:color w:val="000000"/>
        </w:rPr>
        <w:t>Figure S1 Original exact-posture agreement at 100, 250 and 400 lux in every information condition. Cell percentages use the lux-specific frame counts: coverall 15, 22 and 32; everyday workwear 37, 36 and 39. The common colour scale is 0–60%. Group composition and recording periods differ, so the cells do not constitute randomized lighting comparisons.</w:t>
      </w:r>
    </w:p>
    <w:p>
      <w:pPr>
        <w:pStyle w:val="Heading1"/>
      </w:pPr>
      <w:r>
        <w:rPr>
          <w:color w:val="000000"/>
        </w:rPr>
        <w:t>S6 Action categories and candidate explanations</w:t>
      </w:r>
    </w:p>
    <w:p>
      <w:r>
        <w:rPr>
          <w:color w:val="000000"/>
        </w:rPr>
        <w:t>Action categories are generated from the fixed-load lookup, not independently predicted. For high-reference frames, retained, lower and unresolved counts sum to the number of reference categories 3–4. Below/above comparisons use available classifications only. Every original complete posture must have a derived action, while an unresolved posture remains without an observed action under this output rule.</w:t>
      </w:r>
    </w:p>
    <w:p>
      <w:pPr>
        <w:pStyle w:val="Caption"/>
        <w:keepNext/>
      </w:pPr>
      <w:r>
        <w:rPr>
          <w:color w:val="000000"/>
        </w:rPr>
        <w:t>Table S13 Pooled classification of the 61 high reference frames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20"/>
        <w:gridCol w:w="1440"/>
        <w:gridCol w:w="1296"/>
        <w:gridCol w:w="1872"/>
        <w:gridCol w:w="1440"/>
        <w:gridCol w:w="1296"/>
        <w:gridCol w:w="1872"/>
      </w:tblGrid>
      <w:tr>
        <w:trPr>
          <w:tblHeader/>
          <w:cantSplit/>
        </w:trPr>
        <w:tc>
          <w:tcPr>
            <w:tcW w:type="dxa" w:w="720"/>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Cond.</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M56 retained</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M56 lower</w:t>
            </w:r>
          </w:p>
        </w:tc>
        <w:tc>
          <w:tcPr>
            <w:tcW w:type="dxa" w:w="187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M56 unresolved</w:t>
            </w:r>
          </w:p>
        </w:tc>
        <w:tc>
          <w:tcPr>
            <w:tcW w:type="dxa" w:w="14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retained</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lower</w:t>
            </w:r>
          </w:p>
        </w:tc>
        <w:tc>
          <w:tcPr>
            <w:tcW w:type="dxa" w:w="187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M61 unresolved</w:t>
            </w:r>
          </w:p>
        </w:tc>
      </w:tr>
      <w:tr>
        <w:trPr>
          <w:cantSplit/>
        </w:trPr>
        <w:tc>
          <w:tcPr>
            <w:tcW w:type="dxa" w:w="72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1</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26</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27</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8</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17</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41</w:t>
            </w:r>
          </w:p>
        </w:tc>
      </w:tr>
      <w:tr>
        <w:trPr>
          <w:cantSplit/>
        </w:trPr>
        <w:tc>
          <w:tcPr>
            <w:tcW w:type="dxa" w:w="72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2</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21</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36</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14</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14</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33</w:t>
            </w:r>
          </w:p>
        </w:tc>
      </w:tr>
      <w:tr>
        <w:trPr>
          <w:cantSplit/>
        </w:trPr>
        <w:tc>
          <w:tcPr>
            <w:tcW w:type="dxa" w:w="72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3</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29</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27</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5</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25</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6</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30</w:t>
            </w:r>
          </w:p>
        </w:tc>
      </w:tr>
      <w:tr>
        <w:trPr>
          <w:cantSplit/>
        </w:trPr>
        <w:tc>
          <w:tcPr>
            <w:tcW w:type="dxa" w:w="72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4</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35</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24</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28</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7</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26</w:t>
            </w:r>
          </w:p>
        </w:tc>
      </w:tr>
      <w:tr>
        <w:trPr>
          <w:cantSplit/>
        </w:trPr>
        <w:tc>
          <w:tcPr>
            <w:tcW w:type="dxa" w:w="72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5</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31</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27</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28</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12</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21</w:t>
            </w:r>
          </w:p>
        </w:tc>
      </w:tr>
      <w:tr>
        <w:trPr>
          <w:cantSplit/>
        </w:trPr>
        <w:tc>
          <w:tcPr>
            <w:tcW w:type="dxa" w:w="72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6</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36</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19</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6</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25</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6</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30</w:t>
            </w:r>
          </w:p>
        </w:tc>
      </w:tr>
      <w:tr>
        <w:trPr>
          <w:cantSplit/>
        </w:trPr>
        <w:tc>
          <w:tcPr>
            <w:tcW w:type="dxa" w:w="720"/>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7</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26</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32</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3</w:t>
            </w:r>
          </w:p>
        </w:tc>
        <w:tc>
          <w:tcPr>
            <w:tcW w:type="dxa" w:w="14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23</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13</w:t>
            </w:r>
          </w:p>
        </w:tc>
        <w:tc>
          <w:tcPr>
            <w:tcW w:type="dxa" w:w="187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25</w:t>
            </w:r>
          </w:p>
        </w:tc>
      </w:tr>
      <w:tr>
        <w:trPr>
          <w:cantSplit/>
        </w:trPr>
        <w:tc>
          <w:tcPr>
            <w:tcW w:type="dxa" w:w="720"/>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8</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19</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40</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w:t>
            </w:r>
          </w:p>
        </w:tc>
        <w:tc>
          <w:tcPr>
            <w:tcW w:type="dxa" w:w="14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13</w:t>
            </w:r>
          </w:p>
        </w:tc>
        <w:tc>
          <w:tcPr>
            <w:tcW w:type="dxa" w:w="129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w:t>
            </w:r>
          </w:p>
        </w:tc>
        <w:tc>
          <w:tcPr>
            <w:tcW w:type="dxa" w:w="187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44</w:t>
            </w:r>
          </w:p>
        </w:tc>
      </w:tr>
    </w:tbl>
    <w:p>
      <w:pPr>
        <w:spacing w:after="160"/>
      </w:pPr>
      <w:r>
        <w:rPr>
          <w:color w:val="000000"/>
          <w:sz w:val="18"/>
        </w:rPr>
        <w:t>Retained = action categories 3–4; lower = categories 1–2; unresolved = no complete posture/action output. Each version’s three counts sum to 61. These are different review outcomes, not validated safety metrics.</w:t>
      </w:r>
    </w:p>
    <w:p>
      <w:r>
        <w:rPr>
          <w:color w:val="000000"/>
        </w:rPr>
        <w:t>Candidate extraction is reference-blind. Only explicit numerical assignments in clauses identifying a visual or prior-informed candidate are accepted. Both forms such as “arm visual candidate: 1” and “visual candidates: legs=2/3” are supported, including comma- and word-separated sets. Singular arm/leg names are normalized. Repeated mentions form a union; no reference value selects an alternative or breaks a tie. General descriptions such as a possible step without an explicit number remain descriptive and do not receive an inferred code. Every originally unresolved component, including those without candidates, is retained in candidate_audit.csv.</w:t>
      </w:r>
    </w:p>
    <w:p>
      <w:r>
        <w:rPr>
          <w:color w:val="000000"/>
        </w:rPr>
        <w:t>Single-candidate accuracy uses the number of matching single candidates divided by all single candidates. Alternative-set coverage uses the number of sets containing the reference divided by all alternative sets. The latter can increase with set size and is not a selected-code accuracy. No component visibility status is independently annotated. An AI explanation mentioning occlusion is a model report and cannot define the reference visibility condition for an occlusion-accuracy estimate.</w:t>
      </w:r>
    </w:p>
    <w:p>
      <w:pPr>
        <w:pStyle w:val="Caption"/>
        <w:keepNext/>
      </w:pPr>
      <w:r>
        <w:rPr>
          <w:color w:val="000000"/>
        </w:rPr>
        <w:t>Table S14 Candidate accuracy and set coverage by recording and component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1224"/>
        <w:gridCol w:w="936"/>
        <w:gridCol w:w="2232"/>
        <w:gridCol w:w="2232"/>
        <w:gridCol w:w="1296"/>
      </w:tblGrid>
      <w:tr>
        <w:trPr>
          <w:tblHeader/>
          <w:cantSplit/>
        </w:trPr>
        <w:tc>
          <w:tcPr>
            <w:tcW w:type="dxa" w:w="2016"/>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7"/>
              </w:rPr>
              <w:t>Recording</w:t>
            </w:r>
          </w:p>
        </w:tc>
        <w:tc>
          <w:tcPr>
            <w:tcW w:type="dxa" w:w="1224"/>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Component</w:t>
            </w:r>
          </w:p>
        </w:tc>
        <w:tc>
          <w:tcPr>
            <w:tcW w:type="dxa" w:w="93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NA n</w:t>
            </w:r>
          </w:p>
        </w:tc>
        <w:tc>
          <w:tcPr>
            <w:tcW w:type="dxa" w:w="223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Single matched n/N (%)</w:t>
            </w:r>
          </w:p>
        </w:tc>
        <w:tc>
          <w:tcPr>
            <w:tcW w:type="dxa" w:w="223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Set covered n/N (%)</w:t>
            </w:r>
          </w:p>
        </w:tc>
        <w:tc>
          <w:tcPr>
            <w:tcW w:type="dxa" w:w="129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7"/>
              </w:rPr>
              <w:t>No candidate</w:t>
            </w:r>
          </w:p>
        </w:tc>
      </w:tr>
      <w:tr>
        <w:trPr>
          <w:cantSplit/>
        </w:trPr>
        <w:tc>
          <w:tcPr>
            <w:tcW w:type="dxa" w:w="201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7"/>
              </w:rPr>
              <w:t>Coverall</w:t>
            </w:r>
          </w:p>
        </w:tc>
        <w:tc>
          <w:tcPr>
            <w:tcW w:type="dxa" w:w="1224"/>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Back</w:t>
            </w:r>
          </w:p>
        </w:tc>
        <w:tc>
          <w:tcPr>
            <w:tcW w:type="dxa" w:w="93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23</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18/19 (94.7)</w:t>
            </w:r>
          </w:p>
        </w:tc>
        <w:tc>
          <w:tcPr>
            <w:tcW w:type="dxa" w:w="223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1/1 (100.0)</w:t>
            </w:r>
          </w:p>
        </w:tc>
        <w:tc>
          <w:tcPr>
            <w:tcW w:type="dxa" w:w="129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7"/>
              </w:rPr>
              <w:t>3</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Arms</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61</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9/9 (100.0)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2/2 (100.0)</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50</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Coverall</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Legs</w:t>
            </w:r>
          </w:p>
        </w:tc>
        <w:tc>
          <w:tcPr>
            <w:tcW w:type="dxa" w:w="93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359</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30/46 (65.2)</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9/11 (81.8)</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302</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Coverall</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All</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443</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57/74 (77.0)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12/14 (85.7)</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355</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Back</w:t>
            </w:r>
          </w:p>
        </w:tc>
        <w:tc>
          <w:tcPr>
            <w:tcW w:type="dxa" w:w="93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74</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7/21 (33.3)</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37/50 (74.0)</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Arms</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51</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21/23 (91.3)</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20/21 (95.2)</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7</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Everyday workwear</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Legs</w:t>
            </w:r>
          </w:p>
        </w:tc>
        <w:tc>
          <w:tcPr>
            <w:tcW w:type="dxa" w:w="93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490</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30/40 (75.0)</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344/372 (92.5)</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78</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Everyday workwear</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All</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615</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58/84 (69.0)</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401/443 (90.5)</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88</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Back</w:t>
            </w:r>
          </w:p>
        </w:tc>
        <w:tc>
          <w:tcPr>
            <w:tcW w:type="dxa" w:w="93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97</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25/40 (62.5)</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38/51 (74.5)</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Arms</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112</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30/32 (93.8)</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22/23 (95.7)</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57</w:t>
            </w:r>
          </w:p>
        </w:tc>
      </w:tr>
      <w:tr>
        <w:trPr>
          <w:cantSplit/>
        </w:trPr>
        <w:tc>
          <w:tcPr>
            <w:tcW w:type="dxa" w:w="2016"/>
            <w:vAlign w:val="center"/>
            <w:tcMar>
              <w:top w:w="45" w:type="dxa"/>
              <w:bottom w:w="45" w:type="dxa"/>
              <w:left w:w="65" w:type="dxa"/>
              <w:right w:w="65" w:type="dxa"/>
            </w:tcMar>
          </w:tcPr>
          <w:p>
            <w:pPr>
              <w:keepNext w:val="0"/>
              <w:spacing w:before="20" w:after="20" w:line="240" w:lineRule="auto"/>
              <w:jc w:val="left"/>
            </w:pPr>
            <w:r>
              <w:rPr>
                <w:rFonts w:ascii="Arial" w:hAnsi="Arial"/>
                <w:b w:val="0"/>
                <w:color w:val="000000"/>
                <w:sz w:val="17"/>
              </w:rPr>
              <w:t>Pooled</w:t>
            </w:r>
          </w:p>
        </w:tc>
        <w:tc>
          <w:tcPr>
            <w:tcW w:type="dxa" w:w="1224"/>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Legs</w:t>
            </w:r>
          </w:p>
        </w:tc>
        <w:tc>
          <w:tcPr>
            <w:tcW w:type="dxa" w:w="93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849</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60/86 (69.8)</w:t>
            </w:r>
          </w:p>
        </w:tc>
        <w:tc>
          <w:tcPr>
            <w:tcW w:type="dxa" w:w="2232"/>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353/383 (92.2)</w:t>
            </w:r>
          </w:p>
        </w:tc>
        <w:tc>
          <w:tcPr>
            <w:tcW w:type="dxa" w:w="1296"/>
            <w:vAlign w:val="center"/>
            <w:tcMar>
              <w:top w:w="45" w:type="dxa"/>
              <w:bottom w:w="45" w:type="dxa"/>
              <w:left w:w="65" w:type="dxa"/>
              <w:right w:w="65" w:type="dxa"/>
            </w:tcMar>
          </w:tcPr>
          <w:p>
            <w:pPr>
              <w:keepNext w:val="0"/>
              <w:spacing w:before="20" w:after="20" w:line="240" w:lineRule="auto"/>
              <w:jc w:val="center"/>
            </w:pPr>
            <w:r>
              <w:rPr>
                <w:rFonts w:ascii="Arial" w:hAnsi="Arial"/>
                <w:b w:val="0"/>
                <w:color w:val="000000"/>
                <w:sz w:val="17"/>
              </w:rPr>
              <w:t>380</w:t>
            </w:r>
          </w:p>
        </w:tc>
      </w:tr>
      <w:tr>
        <w:trPr>
          <w:cantSplit/>
        </w:trPr>
        <w:tc>
          <w:tcPr>
            <w:tcW w:type="dxa" w:w="2016"/>
            <w:vAlign w:val="center"/>
            <w:tcMar>
              <w:top w:w="45" w:type="dxa"/>
              <w:bottom w:w="45" w:type="dxa"/>
              <w:left w:w="65" w:type="dxa"/>
              <w:right w:w="65" w:type="dxa"/>
            </w:tcMar>
            <w:shd w:fill="F1F4F6"/>
          </w:tcPr>
          <w:p>
            <w:pPr>
              <w:keepNext w:val="0"/>
              <w:spacing w:before="20" w:after="20" w:line="240" w:lineRule="auto"/>
              <w:jc w:val="left"/>
            </w:pPr>
            <w:r>
              <w:rPr>
                <w:rFonts w:ascii="Arial" w:hAnsi="Arial"/>
                <w:b w:val="0"/>
                <w:color w:val="000000"/>
                <w:sz w:val="17"/>
              </w:rPr>
              <w:t>Pooled</w:t>
            </w:r>
          </w:p>
        </w:tc>
        <w:tc>
          <w:tcPr>
            <w:tcW w:type="dxa" w:w="1224"/>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All</w:t>
            </w:r>
          </w:p>
        </w:tc>
        <w:tc>
          <w:tcPr>
            <w:tcW w:type="dxa" w:w="93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1058</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115/158 (72.8)</w:t>
            </w:r>
          </w:p>
        </w:tc>
        <w:tc>
          <w:tcPr>
            <w:tcW w:type="dxa" w:w="2232"/>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413/457 (90.4)</w:t>
            </w:r>
          </w:p>
        </w:tc>
        <w:tc>
          <w:tcPr>
            <w:tcW w:type="dxa" w:w="1296"/>
            <w:vAlign w:val="center"/>
            <w:tcMar>
              <w:top w:w="45" w:type="dxa"/>
              <w:bottom w:w="45" w:type="dxa"/>
              <w:left w:w="65" w:type="dxa"/>
              <w:right w:w="65" w:type="dxa"/>
            </w:tcMar>
            <w:shd w:fill="F1F4F6"/>
          </w:tcPr>
          <w:p>
            <w:pPr>
              <w:keepNext w:val="0"/>
              <w:spacing w:before="20" w:after="20" w:line="240" w:lineRule="auto"/>
              <w:jc w:val="center"/>
            </w:pPr>
            <w:r>
              <w:rPr>
                <w:rFonts w:ascii="Arial" w:hAnsi="Arial"/>
                <w:b w:val="0"/>
                <w:color w:val="000000"/>
                <w:sz w:val="17"/>
              </w:rPr>
              <w:t>443</w:t>
            </w:r>
          </w:p>
        </w:tc>
      </w:tr>
    </w:tbl>
    <w:p>
      <w:pPr>
        <w:spacing w:after="160"/>
      </w:pPr>
      <w:r>
        <w:rPr>
          <w:color w:val="000000"/>
          <w:sz w:val="18"/>
        </w:rPr>
        <w:t>N counts candidate-bearing components across repeated frame evaluations, not unique photographs. Not estimated means no candidate of that type. The overall 1058 NA components include 158 single candidates, 457 alternative sets and 443 without an explicit number.</w:t>
      </w:r>
    </w:p>
    <w:p>
      <w:pPr>
        <w:pStyle w:val="Caption"/>
        <w:keepNext/>
      </w:pPr>
      <w:r>
        <w:rPr>
          <w:color w:val="000000"/>
        </w:rPr>
        <w:t>Table S15 Reference inclusion by candidate set size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656"/>
        <w:gridCol w:w="3240"/>
        <w:gridCol w:w="2952"/>
      </w:tblGrid>
      <w:tr>
        <w:trPr>
          <w:tblHeader/>
          <w:cantSplit/>
        </w:trPr>
        <w:tc>
          <w:tcPr>
            <w:tcW w:type="dxa" w:w="2088"/>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Candidate count</w:t>
            </w:r>
          </w:p>
        </w:tc>
        <w:tc>
          <w:tcPr>
            <w:tcW w:type="dxa" w:w="165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Sets n</w:t>
            </w:r>
          </w:p>
        </w:tc>
        <w:tc>
          <w:tcPr>
            <w:tcW w:type="dxa" w:w="324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Reference included n</w:t>
            </w:r>
          </w:p>
        </w:tc>
        <w:tc>
          <w:tcPr>
            <w:tcW w:type="dxa" w:w="2952"/>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Inclusion %</w:t>
            </w:r>
          </w:p>
        </w:tc>
      </w:tr>
      <w:tr>
        <w:trPr>
          <w:cantSplit/>
        </w:trPr>
        <w:tc>
          <w:tcPr>
            <w:tcW w:type="dxa" w:w="2088"/>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1</w:t>
            </w:r>
          </w:p>
        </w:tc>
        <w:tc>
          <w:tcPr>
            <w:tcW w:type="dxa" w:w="165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158</w:t>
            </w:r>
          </w:p>
        </w:tc>
        <w:tc>
          <w:tcPr>
            <w:tcW w:type="dxa" w:w="32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115</w:t>
            </w:r>
          </w:p>
        </w:tc>
        <w:tc>
          <w:tcPr>
            <w:tcW w:type="dxa" w:w="29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72.8</w:t>
            </w:r>
          </w:p>
        </w:tc>
      </w:tr>
      <w:tr>
        <w:trPr>
          <w:cantSplit/>
        </w:trPr>
        <w:tc>
          <w:tcPr>
            <w:tcW w:type="dxa" w:w="2088"/>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2</w:t>
            </w:r>
          </w:p>
        </w:tc>
        <w:tc>
          <w:tcPr>
            <w:tcW w:type="dxa" w:w="165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341</w:t>
            </w:r>
          </w:p>
        </w:tc>
        <w:tc>
          <w:tcPr>
            <w:tcW w:type="dxa" w:w="32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302</w:t>
            </w:r>
          </w:p>
        </w:tc>
        <w:tc>
          <w:tcPr>
            <w:tcW w:type="dxa" w:w="29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88.6</w:t>
            </w:r>
          </w:p>
        </w:tc>
      </w:tr>
      <w:tr>
        <w:trPr>
          <w:cantSplit/>
        </w:trPr>
        <w:tc>
          <w:tcPr>
            <w:tcW w:type="dxa" w:w="2088"/>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3</w:t>
            </w:r>
          </w:p>
        </w:tc>
        <w:tc>
          <w:tcPr>
            <w:tcW w:type="dxa" w:w="165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111</w:t>
            </w:r>
          </w:p>
        </w:tc>
        <w:tc>
          <w:tcPr>
            <w:tcW w:type="dxa" w:w="324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106</w:t>
            </w:r>
          </w:p>
        </w:tc>
        <w:tc>
          <w:tcPr>
            <w:tcW w:type="dxa" w:w="2952"/>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95.5</w:t>
            </w:r>
          </w:p>
        </w:tc>
      </w:tr>
      <w:tr>
        <w:trPr>
          <w:cantSplit/>
        </w:trPr>
        <w:tc>
          <w:tcPr>
            <w:tcW w:type="dxa" w:w="2088"/>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4</w:t>
            </w:r>
          </w:p>
        </w:tc>
        <w:tc>
          <w:tcPr>
            <w:tcW w:type="dxa" w:w="165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5</w:t>
            </w:r>
          </w:p>
        </w:tc>
        <w:tc>
          <w:tcPr>
            <w:tcW w:type="dxa" w:w="324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5</w:t>
            </w:r>
          </w:p>
        </w:tc>
        <w:tc>
          <w:tcPr>
            <w:tcW w:type="dxa" w:w="2952"/>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100.0</w:t>
            </w:r>
          </w:p>
        </w:tc>
      </w:tr>
    </w:tbl>
    <w:p>
      <w:pPr>
        <w:spacing w:after="160"/>
      </w:pPr>
      <w:r>
        <w:rPr>
          <w:color w:val="000000"/>
          <w:sz w:val="18"/>
        </w:rPr>
        <w:t>One-candidate inclusion equals single-candidate accuracy. Multi-candidate inclusion is set coverage. The five four-candidate sets are too few to support a dependable performance estimate.</w:t>
      </w:r>
    </w:p>
    <w:p>
      <w:r>
        <w:rPr>
          <w:color w:val="000000"/>
        </w:rPr>
        <w:t>Prior-informed single candidates numbered 128 and matched in 89 cases; every one equalled its embedded earlier code. Visual single candidates numbered 30 and matched in 26. The source percentages refer to different selected components and cannot isolate a source effect. Version- and condition-specific details are retained in the machine-readable audit. Available original components are held fixed under both visual-only and all-single substitution policies; hence an original exact match cannot be lost by construction.</w:t>
      </w:r>
    </w:p>
    <w:p>
      <w:pPr>
        <w:pStyle w:val="Caption"/>
        <w:keepNext/>
      </w:pPr>
      <w:r>
        <w:rPr>
          <w:color w:val="000000"/>
        </w:rPr>
        <w:t>Table S16 Additional complete codes after single candidate substitution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36"/>
        <w:gridCol w:w="1008"/>
        <w:gridCol w:w="2016"/>
        <w:gridCol w:w="2016"/>
        <w:gridCol w:w="2160"/>
      </w:tblGrid>
      <w:tr>
        <w:trPr>
          <w:tblHeader/>
          <w:cantSplit/>
        </w:trPr>
        <w:tc>
          <w:tcPr>
            <w:tcW w:type="dxa" w:w="2736"/>
            <w:vAlign w:val="center"/>
            <w:tcMar>
              <w:top w:w="45" w:type="dxa"/>
              <w:bottom w:w="45" w:type="dxa"/>
              <w:left w:w="65" w:type="dxa"/>
              <w:right w:w="65" w:type="dxa"/>
            </w:tcMar>
            <w:shd w:fill="234E69"/>
          </w:tcPr>
          <w:p>
            <w:pPr>
              <w:keepNext/>
              <w:spacing w:before="20" w:after="20" w:line="240" w:lineRule="auto"/>
              <w:jc w:val="left"/>
            </w:pPr>
            <w:r>
              <w:rPr>
                <w:rFonts w:ascii="Arial" w:hAnsi="Arial"/>
                <w:b/>
                <w:color w:val="FFFFFF"/>
                <w:sz w:val="18"/>
              </w:rPr>
              <w:t>Recording</w:t>
            </w:r>
          </w:p>
        </w:tc>
        <w:tc>
          <w:tcPr>
            <w:tcW w:type="dxa" w:w="1008"/>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Version</w:t>
            </w:r>
          </w:p>
        </w:tc>
        <w:tc>
          <w:tcPr>
            <w:tcW w:type="dxa" w:w="201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New complete</w:t>
            </w:r>
          </w:p>
        </w:tc>
        <w:tc>
          <w:tcPr>
            <w:tcW w:type="dxa" w:w="2016"/>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New exact</w:t>
            </w:r>
          </w:p>
        </w:tc>
        <w:tc>
          <w:tcPr>
            <w:tcW w:type="dxa" w:w="2160"/>
            <w:vAlign w:val="center"/>
            <w:tcMar>
              <w:top w:w="45" w:type="dxa"/>
              <w:bottom w:w="45" w:type="dxa"/>
              <w:left w:w="65" w:type="dxa"/>
              <w:right w:w="65" w:type="dxa"/>
            </w:tcMar>
            <w:shd w:fill="234E69"/>
          </w:tcPr>
          <w:p>
            <w:pPr>
              <w:keepNext/>
              <w:spacing w:before="20" w:after="20" w:line="240" w:lineRule="auto"/>
              <w:jc w:val="center"/>
            </w:pPr>
            <w:r>
              <w:rPr>
                <w:rFonts w:ascii="Arial" w:hAnsi="Arial"/>
                <w:b/>
                <w:color w:val="FFFFFF"/>
                <w:sz w:val="18"/>
              </w:rPr>
              <w:t>New mismatch</w:t>
            </w:r>
          </w:p>
        </w:tc>
      </w:tr>
      <w:tr>
        <w:trPr>
          <w:cantSplit/>
        </w:trPr>
        <w:tc>
          <w:tcPr>
            <w:tcW w:type="dxa" w:w="273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Coverall</w:t>
            </w:r>
          </w:p>
        </w:tc>
        <w:tc>
          <w:tcPr>
            <w:tcW w:type="dxa" w:w="100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M56</w:t>
            </w:r>
          </w:p>
        </w:tc>
        <w:tc>
          <w:tcPr>
            <w:tcW w:type="dxa" w:w="201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10</w:t>
            </w:r>
          </w:p>
        </w:tc>
        <w:tc>
          <w:tcPr>
            <w:tcW w:type="dxa" w:w="201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4</w:t>
            </w:r>
          </w:p>
        </w:tc>
        <w:tc>
          <w:tcPr>
            <w:tcW w:type="dxa" w:w="216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6</w:t>
            </w:r>
          </w:p>
        </w:tc>
      </w:tr>
      <w:tr>
        <w:trPr>
          <w:cantSplit/>
        </w:trPr>
        <w:tc>
          <w:tcPr>
            <w:tcW w:type="dxa" w:w="2736"/>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Coverall</w:t>
            </w:r>
          </w:p>
        </w:tc>
        <w:tc>
          <w:tcPr>
            <w:tcW w:type="dxa" w:w="100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M61</w:t>
            </w:r>
          </w:p>
        </w:tc>
        <w:tc>
          <w:tcPr>
            <w:tcW w:type="dxa" w:w="201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45</w:t>
            </w:r>
          </w:p>
        </w:tc>
        <w:tc>
          <w:tcPr>
            <w:tcW w:type="dxa" w:w="201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27</w:t>
            </w:r>
          </w:p>
        </w:tc>
        <w:tc>
          <w:tcPr>
            <w:tcW w:type="dxa" w:w="216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18</w:t>
            </w:r>
          </w:p>
        </w:tc>
      </w:tr>
      <w:tr>
        <w:trPr>
          <w:cantSplit/>
        </w:trPr>
        <w:tc>
          <w:tcPr>
            <w:tcW w:type="dxa" w:w="2736"/>
            <w:vAlign w:val="center"/>
            <w:tcMar>
              <w:top w:w="45" w:type="dxa"/>
              <w:bottom w:w="45" w:type="dxa"/>
              <w:left w:w="65" w:type="dxa"/>
              <w:right w:w="65" w:type="dxa"/>
            </w:tcMar>
          </w:tcPr>
          <w:p>
            <w:pPr>
              <w:keepNext/>
              <w:spacing w:before="20" w:after="20" w:line="240" w:lineRule="auto"/>
              <w:jc w:val="left"/>
            </w:pPr>
            <w:r>
              <w:rPr>
                <w:rFonts w:ascii="Arial" w:hAnsi="Arial"/>
                <w:b w:val="0"/>
                <w:color w:val="000000"/>
                <w:sz w:val="18"/>
              </w:rPr>
              <w:t>Everyday workwear</w:t>
            </w:r>
          </w:p>
        </w:tc>
        <w:tc>
          <w:tcPr>
            <w:tcW w:type="dxa" w:w="1008"/>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M56</w:t>
            </w:r>
          </w:p>
        </w:tc>
        <w:tc>
          <w:tcPr>
            <w:tcW w:type="dxa" w:w="201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0</w:t>
            </w:r>
          </w:p>
        </w:tc>
        <w:tc>
          <w:tcPr>
            <w:tcW w:type="dxa" w:w="2016"/>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0</w:t>
            </w:r>
          </w:p>
        </w:tc>
        <w:tc>
          <w:tcPr>
            <w:tcW w:type="dxa" w:w="2160"/>
            <w:vAlign w:val="center"/>
            <w:tcMar>
              <w:top w:w="45" w:type="dxa"/>
              <w:bottom w:w="45" w:type="dxa"/>
              <w:left w:w="65" w:type="dxa"/>
              <w:right w:w="65" w:type="dxa"/>
            </w:tcMar>
          </w:tcPr>
          <w:p>
            <w:pPr>
              <w:keepNext/>
              <w:spacing w:before="20" w:after="20" w:line="240" w:lineRule="auto"/>
              <w:jc w:val="center"/>
            </w:pPr>
            <w:r>
              <w:rPr>
                <w:rFonts w:ascii="Arial" w:hAnsi="Arial"/>
                <w:b w:val="0"/>
                <w:color w:val="000000"/>
                <w:sz w:val="18"/>
              </w:rPr>
              <w:t>0</w:t>
            </w:r>
          </w:p>
        </w:tc>
      </w:tr>
      <w:tr>
        <w:trPr>
          <w:cantSplit/>
        </w:trPr>
        <w:tc>
          <w:tcPr>
            <w:tcW w:type="dxa" w:w="2736"/>
            <w:vAlign w:val="center"/>
            <w:tcMar>
              <w:top w:w="45" w:type="dxa"/>
              <w:bottom w:w="45" w:type="dxa"/>
              <w:left w:w="65" w:type="dxa"/>
              <w:right w:w="65" w:type="dxa"/>
            </w:tcMar>
            <w:shd w:fill="F1F4F6"/>
          </w:tcPr>
          <w:p>
            <w:pPr>
              <w:keepNext/>
              <w:spacing w:before="20" w:after="20" w:line="240" w:lineRule="auto"/>
              <w:jc w:val="left"/>
            </w:pPr>
            <w:r>
              <w:rPr>
                <w:rFonts w:ascii="Arial" w:hAnsi="Arial"/>
                <w:b w:val="0"/>
                <w:color w:val="000000"/>
                <w:sz w:val="18"/>
              </w:rPr>
              <w:t>Everyday workwear</w:t>
            </w:r>
          </w:p>
        </w:tc>
        <w:tc>
          <w:tcPr>
            <w:tcW w:type="dxa" w:w="1008"/>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M61</w:t>
            </w:r>
          </w:p>
        </w:tc>
        <w:tc>
          <w:tcPr>
            <w:tcW w:type="dxa" w:w="201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55</w:t>
            </w:r>
          </w:p>
        </w:tc>
        <w:tc>
          <w:tcPr>
            <w:tcW w:type="dxa" w:w="2016"/>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25</w:t>
            </w:r>
          </w:p>
        </w:tc>
        <w:tc>
          <w:tcPr>
            <w:tcW w:type="dxa" w:w="2160"/>
            <w:vAlign w:val="center"/>
            <w:tcMar>
              <w:top w:w="45" w:type="dxa"/>
              <w:bottom w:w="45" w:type="dxa"/>
              <w:left w:w="65" w:type="dxa"/>
              <w:right w:w="65" w:type="dxa"/>
            </w:tcMar>
            <w:shd w:fill="F1F4F6"/>
          </w:tcPr>
          <w:p>
            <w:pPr>
              <w:keepNext/>
              <w:spacing w:before="20" w:after="20" w:line="240" w:lineRule="auto"/>
              <w:jc w:val="center"/>
            </w:pPr>
            <w:r>
              <w:rPr>
                <w:rFonts w:ascii="Arial" w:hAnsi="Arial"/>
                <w:b w:val="0"/>
                <w:color w:val="000000"/>
                <w:sz w:val="18"/>
              </w:rPr>
              <w:t>30</w:t>
            </w:r>
          </w:p>
        </w:tc>
      </w:tr>
    </w:tbl>
    <w:p>
      <w:pPr>
        <w:spacing w:after="160"/>
      </w:pPr>
      <w:r>
        <w:rPr>
          <w:color w:val="000000"/>
          <w:sz w:val="18"/>
        </w:rPr>
        <w:t>No new AI generation was performed. These are derived policy outcomes, not changes to the primary recorded responses. New complete = new exact + new mismatch. Full condition-wise and visual-only results are in candidate_policy_performance.csv.</w:t>
      </w:r>
    </w:p>
    <w:p>
      <w:r>
        <w:rPr>
          <w:color w:val="000000"/>
        </w:rPr>
        <w:t>A separate compatibility audit preserves all issued original components and asks whether the reference posture is among the combinations permitted by the recorded candidates for every missing component. Such a set can be evaluated only when all missing components have explicit candidates. This occurred in 516 originally incomplete outputs, of which 186 were compatible with the full reference posture. Compatibility is neither an observed choice nor a prescription to select the expert answer. It illustrates why high coverage for one missing component does not imply a correct complete code. No unrestricted hypothetical assignment was made for components without a candidate.</w:t>
      </w:r>
    </w:p>
    <w:p>
      <w:pPr>
        <w:pStyle w:val="Heading1"/>
      </w:pPr>
      <w:r>
        <w:rPr>
          <w:color w:val="000000"/>
        </w:rPr>
        <w:t>S7 Numerical audit and reproduction files</w:t>
      </w:r>
    </w:p>
    <w:p>
      <w:r>
        <w:rPr>
          <w:color w:val="000000"/>
        </w:rPr>
        <w:t>The archived source-stage audit records checks of 543 consensus codes re-extracted from workbook XML. The public independent checks instead compare all 543 consensus values with the released CSV input, and verify 144 performance rows, 2016 category rows, 564 exact paired tests, 288 exact illuminance tests and all nine Holm families. Integer binomial and table enumeration calculations are compared with the primary floating-point implementation. All 1058 candidate memberships and 5792 derived output rows are checked, including preservation of originally issued digits. The source OWAS action table is checked against an independently frozen 252-cell reference, including all 84 load-1 entries. No images were re-coded and no additional AI calls were made.</w:t>
      </w:r>
    </w:p>
    <w:p>
      <w:r>
        <w:rPr>
          <w:color w:val="000000"/>
        </w:rPr>
        <w:t>The public release consists of two sibling directories, owas-code and owas-data-results, extracted into the same parent directory. It contains preserved numerical inputs, result tables, source scripts, the lookup reference, complete coding prompts, software requirements and resampling seeds. From owas-code, run python run_reproduction.py. Separate protocol metadata audits preserve raw values and document deterministic normalizations without altering posture codes. Original photographs, the main manuscript, raw chats and signed consent forms are not included. The scripts reproduce numerical analyses, metadata audits and figures; they do not generate original AI outputs or the main manuscript.</w:t>
      </w:r>
    </w:p>
    <w:p>
      <w:r>
        <w:rPr>
          <w:color w:val="000000"/>
        </w:rPr>
        <w:t>The calculations cannot establish new-worker performance, a causal clothing effect, a minimum sufficient illuminance, repeated-run stability or objective visibility-specific accuracy. These limits arise from the design and available measurements, not from a failure to perform additional significance tests. The investigators’ session protocol is described above; full provider-side logs and generation settings are not included in the public release.</w:t>
      </w:r>
    </w:p>
    <w:p>
      <w:r>
        <w:br w:type="page"/>
      </w:r>
    </w:p>
    <w:p>
      <w:pPr>
        <w:pStyle w:val="Heading1"/>
      </w:pPr>
      <w:r>
        <w:t>S8 Coding prompts and prior preparation</w:t>
      </w:r>
    </w:p>
    <w:p>
      <w:r>
        <w:t>Eight complete investigator-supplied prompts dated 26 October 2026 are distributed unchanged in ../prompts. Conditions 1–3 use version 1.0; Conditions 4–8 use version 1.1. The prompt manifest records their exact SHA-256 values. The prompts specify Lins and Hein (2022), doi:10.1186/s12891-022-05821-9, Tables 2–4, for posture definitions; the study fixes load at category 1. They require independent frame assessment, NA for unresolved primary components and explicit separation of primary codes from numerical candidates.</w:t>
      </w:r>
    </w:p>
    <w:p>
      <w:r>
        <w:t>Prior-assisted conditions accept one frozen same-model, same-effort no-prior baseline, either as the full result CSV or an existing six-column extract. Before coding, the protocol permits only frame_id, back, arms, legs, load and OWAS_code to be exposed from that file. Notes and evidence fields are excluded. A definite prior cannot replace an unresolved primary visual component; it may be recorded only as a prior-informed candidate. Optional sequential Conditions 09 and 10 mentioned in the prompt templates are outside this eight-condition study.</w:t>
      </w:r>
    </w:p>
    <w:p>
      <w:r>
        <w:t>Table S17 Supplied coding prompt files</w:t>
      </w:r>
    </w:p>
    <w:tbl>
      <w:tblPr>
        <w:tblW w:type="auto" w:w="0"/>
        <w:jc w:val="center"/>
        <w:tblLook w:firstColumn="1" w:firstRow="1" w:lastColumn="0" w:lastRow="0" w:noHBand="0" w:noVBand="1" w:val="04A0"/>
      </w:tblPr>
      <w:tblGrid>
        <w:gridCol w:w="2484"/>
        <w:gridCol w:w="2484"/>
        <w:gridCol w:w="2484"/>
        <w:gridCol w:w="2484"/>
      </w:tblGrid>
      <w:tr>
        <w:trPr>
          <w:tblHeader/>
        </w:trPr>
        <w:tc>
          <w:tcPr>
            <w:tcW w:type="dxa" w:w="2484"/>
            <w:vAlign w:val="center"/>
            <w:shd w:fill="244C64"/>
            <w:tcBorders>
              <w:top w:val="single" w:sz="4" w:color="D9D9D9"/>
              <w:left w:val="single" w:sz="4" w:color="D9D9D9"/>
              <w:bottom w:val="single" w:sz="4" w:color="D9D9D9"/>
              <w:right w:val="single" w:sz="4" w:color="D9D9D9"/>
            </w:tcBorders>
          </w:tcPr>
          <w:p>
            <w:r>
              <w:rPr>
                <w:color w:val="FFFFFF"/>
                <w:sz w:val="19"/>
              </w:rPr>
              <w:t>Condition</w:t>
            </w:r>
          </w:p>
        </w:tc>
        <w:tc>
          <w:tcPr>
            <w:tcW w:type="dxa" w:w="2484"/>
            <w:vAlign w:val="center"/>
            <w:shd w:fill="244C64"/>
            <w:tcBorders>
              <w:top w:val="single" w:sz="4" w:color="D9D9D9"/>
              <w:left w:val="single" w:sz="4" w:color="D9D9D9"/>
              <w:bottom w:val="single" w:sz="4" w:color="D9D9D9"/>
              <w:right w:val="single" w:sz="4" w:color="D9D9D9"/>
            </w:tcBorders>
          </w:tcPr>
          <w:p>
            <w:r>
              <w:rPr>
                <w:color w:val="FFFFFF"/>
                <w:sz w:val="19"/>
              </w:rPr>
              <w:t>Current images</w:t>
            </w:r>
          </w:p>
        </w:tc>
        <w:tc>
          <w:tcPr>
            <w:tcW w:type="dxa" w:w="2484"/>
            <w:vAlign w:val="center"/>
            <w:shd w:fill="244C64"/>
            <w:tcBorders>
              <w:top w:val="single" w:sz="4" w:color="D9D9D9"/>
              <w:left w:val="single" w:sz="4" w:color="D9D9D9"/>
              <w:bottom w:val="single" w:sz="4" w:color="D9D9D9"/>
              <w:right w:val="single" w:sz="4" w:color="D9D9D9"/>
            </w:tcBorders>
          </w:tcPr>
          <w:p>
            <w:r>
              <w:rPr>
                <w:color w:val="FFFFFF"/>
                <w:sz w:val="19"/>
              </w:rPr>
              <w:t>Frozen prior baseline</w:t>
            </w:r>
          </w:p>
        </w:tc>
        <w:tc>
          <w:tcPr>
            <w:tcW w:type="dxa" w:w="2484"/>
            <w:vAlign w:val="center"/>
            <w:shd w:fill="244C64"/>
            <w:tcBorders>
              <w:top w:val="single" w:sz="4" w:color="D9D9D9"/>
              <w:left w:val="single" w:sz="4" w:color="D9D9D9"/>
              <w:bottom w:val="single" w:sz="4" w:color="D9D9D9"/>
              <w:right w:val="single" w:sz="4" w:color="D9D9D9"/>
            </w:tcBorders>
          </w:tcPr>
          <w:p>
            <w:r>
              <w:rPr>
                <w:color w:val="FFFFFF"/>
                <w:sz w:val="19"/>
              </w:rPr>
              <w:t>Prompt version</w:t>
            </w:r>
          </w:p>
        </w:tc>
      </w:tr>
      <w:tr>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1</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Side</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None</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1.0</w:t>
            </w:r>
          </w:p>
        </w:tc>
      </w:tr>
      <w:tr>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2</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Front</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None</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1.0</w:t>
            </w:r>
          </w:p>
        </w:tc>
      </w:tr>
      <w:tr>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3</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Side and front</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None</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1.0</w:t>
            </w:r>
          </w:p>
        </w:tc>
      </w:tr>
      <w:tr>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4</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Side and front</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1.1</w:t>
            </w:r>
          </w:p>
        </w:tc>
      </w:tr>
      <w:tr>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5</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Side and front</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2</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1.1</w:t>
            </w:r>
          </w:p>
        </w:tc>
      </w:tr>
      <w:tr>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6</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Side and front</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3</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1.1</w:t>
            </w:r>
          </w:p>
        </w:tc>
      </w:tr>
      <w:tr>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7</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Side</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2</w:t>
            </w:r>
          </w:p>
        </w:tc>
        <w:tc>
          <w:tcPr>
            <w:tcW w:type="dxa" w:w="2484"/>
            <w:vAlign w:val="center"/>
            <w:shd w:fill="FFFFFF"/>
            <w:tcBorders>
              <w:top w:val="single" w:sz="4" w:color="D9D9D9"/>
              <w:left w:val="single" w:sz="4" w:color="D9D9D9"/>
              <w:bottom w:val="single" w:sz="4" w:color="D9D9D9"/>
              <w:right w:val="single" w:sz="4" w:color="D9D9D9"/>
            </w:tcBorders>
          </w:tcPr>
          <w:p>
            <w:r>
              <w:rPr>
                <w:color w:val="000000"/>
                <w:sz w:val="19"/>
              </w:rPr>
              <w:t>1.1</w:t>
            </w:r>
          </w:p>
        </w:tc>
      </w:tr>
      <w:tr>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8</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Front</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w:t>
            </w:r>
          </w:p>
        </w:tc>
        <w:tc>
          <w:tcPr>
            <w:tcW w:type="dxa" w:w="2484"/>
            <w:vAlign w:val="center"/>
            <w:shd w:fill="F0F3F5"/>
            <w:tcBorders>
              <w:top w:val="single" w:sz="4" w:color="D9D9D9"/>
              <w:left w:val="single" w:sz="4" w:color="D9D9D9"/>
              <w:bottom w:val="single" w:sz="4" w:color="D9D9D9"/>
              <w:right w:val="single" w:sz="4" w:color="D9D9D9"/>
            </w:tcBorders>
          </w:tcPr>
          <w:p>
            <w:r>
              <w:rPr>
                <w:color w:val="000000"/>
                <w:sz w:val="19"/>
              </w:rPr>
              <w:t>1.1</w:t>
            </w:r>
          </w:p>
        </w:tc>
      </w:tr>
    </w:tbl>
    <w:p>
      <w:pPr>
        <w:pStyle w:val="Heading1"/>
      </w:pPr>
      <w:r>
        <w:t>S9 Archived metadata schema audit</w:t>
      </w:r>
    </w:p>
    <w:p>
      <w:r>
        <w:t>Comparing the 2896 archived coding rows with the supplied prompt schema identifies 326 flagged metadata fields across 187 rows. These comprise 112 prior-status values using ok or partial_na instead of matched_valid, 207 free-text evidence fields across 69 coverall M56 Condition 8 rows, five influence flags despite a prior component equal to NA, and two contradictions between a primary component and its evidence label. These are metadata schema deviations, not new posture ratings.</w:t>
      </w:r>
    </w:p>
    <w:p>
      <w:r>
        <w:t>The original input CSVs remain unchanged. The separate audit proposes 118 deterministic metadata normalizations: 112 matched-valid prior statuses verified against the frozen source, five not-applicable influence flags for NA prior components, and one insufficient evidence label for an already unresolved primary component. The other 208 fields are retained for source review; no supporting view or posture is inferred to repair them. Performance calculations continue to use the original issued posture digits.</w:t>
      </w:r>
    </w:p>
    <w:p>
      <w:r>
        <w:t>For coverall/M56/Condition 5/frame 00065, legs=NA is accompanied by legs_evidence=side_visual; the derived metadata label follows the prompt rule for an unresolved primary component. For everyday/M56/Condition 6/frame 00028, legs=4 is accompanied by legs_evidence=insufficient; its true supporting view cannot be established from the released metadata. Both original rows and their posture codes are preserved. The complete flags, raw values and proposed normalizations are in ../audit/protocol_metadata_flags.csv and ../audit/protocol_metadata_normalization.csv; audit_protocol.py regenerates them.</w:t>
      </w:r>
    </w:p>
    <w:sectPr>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Expert-Referenced Evaluation of Multimodal AI for OWAS Coding Across Workplace Visual Conditions</dc:title>
  <dc:subject/>
  <dc:creator/>
  <cp:keywords/>
  <dc:description/>
  <cp:lastModifiedBy/>
  <cp:revision>1</cp:revision>
  <cp:category/>
  <dc:language>en-US</dc:language>
</cp:coreProperties>
</file>