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0723A76A" w:rsidR="00D419A3" w:rsidRDefault="00000000">
      <w:pPr>
        <w:ind w:left="4"/>
        <w:rPr>
          <w:sz w:val="20"/>
          <w:szCs w:val="20"/>
        </w:rPr>
      </w:pPr>
      <w:r>
        <w:rPr>
          <w:rFonts w:eastAsia="Times New Roman"/>
          <w:b/>
          <w:bCs/>
          <w:sz w:val="28"/>
          <w:szCs w:val="28"/>
        </w:rPr>
        <w:t xml:space="preserve">Week </w:t>
      </w:r>
      <w:r w:rsidR="00F833E6">
        <w:rPr>
          <w:rFonts w:eastAsia="Times New Roman"/>
          <w:b/>
          <w:bCs/>
          <w:sz w:val="28"/>
          <w:szCs w:val="28"/>
        </w:rPr>
        <w:t>10</w:t>
      </w:r>
      <w:r>
        <w:rPr>
          <w:rFonts w:eastAsia="Times New Roman"/>
          <w:b/>
          <w:bCs/>
          <w:sz w:val="28"/>
          <w:szCs w:val="28"/>
        </w:rPr>
        <w:t>:</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w:t>
      </w:r>
      <w:proofErr w:type="spellStart"/>
      <w:r>
        <w:rPr>
          <w:rFonts w:eastAsia="Times New Roman"/>
          <w:sz w:val="32"/>
          <w:szCs w:val="32"/>
        </w:rPr>
        <w:t>Potocki</w:t>
      </w:r>
      <w:proofErr w:type="spellEnd"/>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1C1AD90C" w:rsidR="00D419A3" w:rsidRDefault="00000000">
      <w:pPr>
        <w:ind w:left="4"/>
        <w:rPr>
          <w:sz w:val="20"/>
          <w:szCs w:val="20"/>
        </w:rPr>
      </w:pPr>
      <w:r>
        <w:rPr>
          <w:rFonts w:eastAsia="Times New Roman"/>
          <w:b/>
          <w:bCs/>
          <w:sz w:val="32"/>
          <w:szCs w:val="32"/>
        </w:rPr>
        <w:t>Date:</w:t>
      </w:r>
      <w:r>
        <w:rPr>
          <w:rFonts w:eastAsia="Times New Roman"/>
          <w:sz w:val="32"/>
          <w:szCs w:val="32"/>
        </w:rPr>
        <w:t xml:space="preserve"> </w:t>
      </w:r>
      <w:r w:rsidR="00F833E6">
        <w:rPr>
          <w:rFonts w:eastAsia="Times New Roman"/>
          <w:sz w:val="32"/>
          <w:szCs w:val="32"/>
        </w:rPr>
        <w:t>09</w:t>
      </w:r>
      <w:r>
        <w:rPr>
          <w:rFonts w:eastAsia="Times New Roman"/>
          <w:sz w:val="32"/>
          <w:szCs w:val="32"/>
        </w:rPr>
        <w:t xml:space="preserve"> </w:t>
      </w:r>
      <w:r w:rsidR="00F833E6">
        <w:rPr>
          <w:rFonts w:eastAsia="Times New Roman"/>
          <w:sz w:val="32"/>
          <w:szCs w:val="32"/>
        </w:rPr>
        <w:t>June</w:t>
      </w:r>
      <w:r>
        <w:rPr>
          <w:rFonts w:eastAsia="Times New Roman"/>
          <w:sz w:val="32"/>
          <w:szCs w:val="32"/>
        </w:rPr>
        <w:t xml:space="preserve">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 xml:space="preserve">Clean the data and perform </w:t>
            </w:r>
            <w:proofErr w:type="spellStart"/>
            <w:r>
              <w:rPr>
                <w:rFonts w:ascii="Calibri Light" w:eastAsia="Calibri Light" w:hAnsi="Calibri Light" w:cs="Calibri Light"/>
                <w:b/>
                <w:bCs/>
              </w:rPr>
              <w:t>dedup</w:t>
            </w:r>
            <w:proofErr w:type="spellEnd"/>
            <w:r>
              <w:rPr>
                <w:rFonts w:ascii="Calibri Light" w:eastAsia="Calibri Light" w:hAnsi="Calibri Light" w:cs="Calibri Light"/>
                <w:b/>
                <w:bCs/>
              </w:rPr>
              <w:t xml:space="preserve">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77777777" w:rsidR="00D419A3" w:rsidRDefault="00000000">
      <w:pPr>
        <w:ind w:left="40"/>
        <w:rPr>
          <w:sz w:val="20"/>
          <w:szCs w:val="20"/>
        </w:rPr>
      </w:pPr>
      <w:r>
        <w:rPr>
          <w:rFonts w:eastAsia="Times New Roman"/>
          <w:b/>
          <w:bCs/>
          <w:sz w:val="32"/>
          <w:szCs w:val="32"/>
        </w:rPr>
        <w:t>2. Problem Statement</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 xml:space="preserve">The dataset needs to be clean and if there is any data issue present in the data then it should be treated by this pipeline (duplicate data or junk data. </w:t>
      </w:r>
      <w:proofErr w:type="spellStart"/>
      <w:r>
        <w:rPr>
          <w:rFonts w:ascii="Trebuchet MS" w:eastAsia="Trebuchet MS" w:hAnsi="Trebuchet MS" w:cs="Trebuchet MS"/>
          <w:b/>
          <w:bCs/>
          <w:sz w:val="28"/>
          <w:szCs w:val="28"/>
        </w:rPr>
        <w:t>Dedup</w:t>
      </w:r>
      <w:proofErr w:type="spellEnd"/>
      <w:r>
        <w:rPr>
          <w:rFonts w:ascii="Trebuchet MS" w:eastAsia="Trebuchet MS" w:hAnsi="Trebuchet MS" w:cs="Trebuchet MS"/>
          <w:b/>
          <w:bCs/>
          <w:sz w:val="28"/>
          <w:szCs w:val="28"/>
        </w:rPr>
        <w:t xml:space="preserve">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77777777" w:rsidR="00D419A3" w:rsidRDefault="00000000">
      <w:pPr>
        <w:rPr>
          <w:sz w:val="20"/>
          <w:szCs w:val="20"/>
        </w:rPr>
      </w:pPr>
      <w:bookmarkStart w:id="2" w:name="page3"/>
      <w:bookmarkEnd w:id="2"/>
      <w:r>
        <w:rPr>
          <w:rFonts w:eastAsia="Times New Roman"/>
          <w:b/>
          <w:bCs/>
          <w:sz w:val="32"/>
          <w:szCs w:val="32"/>
        </w:rPr>
        <w:t>3. Data Understanding</w:t>
      </w:r>
    </w:p>
    <w:p w14:paraId="2E8A105A" w14:textId="77777777" w:rsidR="00D419A3" w:rsidRDefault="00D419A3">
      <w:pPr>
        <w:spacing w:line="244" w:lineRule="exact"/>
        <w:rPr>
          <w:sz w:val="20"/>
          <w:szCs w:val="20"/>
        </w:rPr>
      </w:pPr>
    </w:p>
    <w:p w14:paraId="01A20AE4" w14:textId="30DB08C7" w:rsidR="00D419A3" w:rsidRDefault="00000000">
      <w:pPr>
        <w:spacing w:line="239" w:lineRule="auto"/>
        <w:ind w:right="20"/>
        <w:rPr>
          <w:sz w:val="20"/>
          <w:szCs w:val="20"/>
        </w:rPr>
      </w:pPr>
      <w:r>
        <w:rPr>
          <w:rFonts w:ascii="Trebuchet MS" w:eastAsia="Trebuchet MS" w:hAnsi="Trebuchet MS" w:cs="Trebuchet MS"/>
          <w:b/>
          <w:bCs/>
          <w:sz w:val="32"/>
          <w:szCs w:val="32"/>
        </w:rPr>
        <w:t xml:space="preserve">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FD2C02"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347379D7" w14:textId="624C33A0" w:rsidR="00D419A3" w:rsidRDefault="00000000">
      <w:pPr>
        <w:spacing w:line="238" w:lineRule="auto"/>
        <w:ind w:right="500"/>
        <w:jc w:val="both"/>
        <w:rPr>
          <w:sz w:val="20"/>
          <w:szCs w:val="20"/>
        </w:rPr>
      </w:pPr>
      <w:r>
        <w:rPr>
          <w:rFonts w:ascii="Trebuchet MS" w:eastAsia="Trebuchet MS" w:hAnsi="Trebuchet MS" w:cs="Trebuchet MS"/>
          <w:b/>
          <w:bCs/>
          <w:sz w:val="32"/>
          <w:szCs w:val="32"/>
        </w:rPr>
        <w:t xml:space="preserve">After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the data, we found that </w:t>
      </w:r>
      <w:proofErr w:type="gramStart"/>
      <w:r>
        <w:rPr>
          <w:rFonts w:ascii="Trebuchet MS" w:eastAsia="Trebuchet MS" w:hAnsi="Trebuchet MS" w:cs="Trebuchet MS"/>
          <w:b/>
          <w:bCs/>
          <w:sz w:val="32"/>
          <w:szCs w:val="32"/>
        </w:rPr>
        <w:t>the majority of</w:t>
      </w:r>
      <w:proofErr w:type="gramEnd"/>
      <w:r>
        <w:rPr>
          <w:rFonts w:ascii="Trebuchet MS" w:eastAsia="Trebuchet MS" w:hAnsi="Trebuchet MS" w:cs="Trebuchet MS"/>
          <w:b/>
          <w:bCs/>
          <w:sz w:val="32"/>
          <w:szCs w:val="32"/>
        </w:rPr>
        <w:t xml:space="preserve"> the variables are skewed positively, indicating that the data is more concentrated towards the higher end of the scale.</w:t>
      </w:r>
    </w:p>
    <w:p w14:paraId="4D15ED18" w14:textId="77777777" w:rsidR="00D419A3" w:rsidRDefault="00D419A3">
      <w:pPr>
        <w:spacing w:line="11" w:lineRule="exact"/>
        <w:rPr>
          <w:sz w:val="20"/>
          <w:szCs w:val="20"/>
        </w:rPr>
      </w:pPr>
    </w:p>
    <w:p w14:paraId="6AE9F69A" w14:textId="44F973E2" w:rsidR="00D419A3" w:rsidRPr="00F833E6" w:rsidRDefault="00000000" w:rsidP="00F833E6">
      <w:pPr>
        <w:spacing w:line="248" w:lineRule="auto"/>
        <w:ind w:right="80"/>
        <w:rPr>
          <w:sz w:val="20"/>
          <w:szCs w:val="20"/>
        </w:rPr>
        <w:sectPr w:rsidR="00D419A3" w:rsidRPr="00F833E6">
          <w:pgSz w:w="12240" w:h="15840"/>
          <w:pgMar w:top="1414" w:right="1420" w:bottom="1032" w:left="1420" w:header="0" w:footer="0" w:gutter="0"/>
          <w:cols w:space="720" w:equalWidth="0">
            <w:col w:w="9400"/>
          </w:cols>
        </w:sectPr>
      </w:pPr>
      <w:r>
        <w:rPr>
          <w:rFonts w:ascii="Trebuchet MS" w:eastAsia="Trebuchet MS" w:hAnsi="Trebuchet MS" w:cs="Trebuchet MS"/>
          <w:b/>
          <w:bCs/>
          <w:sz w:val="31"/>
          <w:szCs w:val="31"/>
        </w:rPr>
        <w:t xml:space="preserve">However, the Satisfaction Rate variable is skewed negatively, indicating that the data is more concentrated towards the lower end of the scale. We did not find any outliers or </w:t>
      </w:r>
      <w:r w:rsidR="00F833E6">
        <w:rPr>
          <w:rFonts w:ascii="Trebuchet MS" w:eastAsia="Trebuchet MS" w:hAnsi="Trebuchet MS" w:cs="Trebuchet MS"/>
          <w:b/>
          <w:bCs/>
          <w:sz w:val="31"/>
          <w:szCs w:val="31"/>
        </w:rPr>
        <w:t>missing,</w:t>
      </w:r>
    </w:p>
    <w:p w14:paraId="2CA65860" w14:textId="77777777" w:rsidR="00D419A3" w:rsidRDefault="00000000">
      <w:pPr>
        <w:spacing w:line="239" w:lineRule="auto"/>
        <w:ind w:right="60"/>
        <w:rPr>
          <w:sz w:val="20"/>
          <w:szCs w:val="20"/>
        </w:rPr>
      </w:pPr>
      <w:bookmarkStart w:id="3" w:name="page4"/>
      <w:bookmarkEnd w:id="3"/>
      <w:r>
        <w:rPr>
          <w:rFonts w:ascii="Trebuchet MS" w:eastAsia="Trebuchet MS" w:hAnsi="Trebuchet MS" w:cs="Trebuchet MS"/>
          <w:b/>
          <w:bCs/>
          <w:sz w:val="32"/>
          <w:szCs w:val="32"/>
        </w:rPr>
        <w:t>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77777777"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6E8D02CD" w:rsidR="00D419A3" w:rsidRDefault="00000000">
      <w:pPr>
        <w:spacing w:line="239" w:lineRule="auto"/>
        <w:rPr>
          <w:sz w:val="20"/>
          <w:szCs w:val="20"/>
        </w:rPr>
      </w:pPr>
      <w:r>
        <w:rPr>
          <w:rFonts w:ascii="Trebuchet MS" w:eastAsia="Trebuchet MS" w:hAnsi="Trebuchet MS" w:cs="Trebuchet MS"/>
          <w:b/>
          <w:bCs/>
          <w:sz w:val="32"/>
          <w:szCs w:val="32"/>
        </w:rPr>
        <w:t xml:space="preserve">Firstly, we utilized the </w:t>
      </w:r>
      <w:proofErr w:type="spellStart"/>
      <w:r>
        <w:rPr>
          <w:rFonts w:ascii="Trebuchet MS" w:eastAsia="Trebuchet MS" w:hAnsi="Trebuchet MS" w:cs="Trebuchet MS"/>
          <w:b/>
          <w:bCs/>
          <w:sz w:val="32"/>
          <w:szCs w:val="32"/>
        </w:rPr>
        <w:t>wisconsizing</w:t>
      </w:r>
      <w:proofErr w:type="spellEnd"/>
      <w:r>
        <w:rPr>
          <w:rFonts w:ascii="Trebuchet MS" w:eastAsia="Trebuchet MS" w:hAnsi="Trebuchet MS" w:cs="Trebuchet MS"/>
          <w:b/>
          <w:bCs/>
          <w:sz w:val="32"/>
          <w:szCs w:val="32"/>
        </w:rPr>
        <w:t xml:space="preserve"> technique to identify and handle any potential outliers in the dataset professionally. This technique involves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4" w:name="page5"/>
      <w:bookmarkEnd w:id="4"/>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 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4FF4DF55" w:rsidR="00CE725B" w:rsidRPr="00CE725B" w:rsidRDefault="00E6042F" w:rsidP="00CE725B">
      <w:pPr>
        <w:spacing w:line="239" w:lineRule="auto"/>
        <w:ind w:right="60"/>
        <w:rPr>
          <w:rFonts w:ascii="Trebuchet MS" w:eastAsia="Trebuchet MS" w:hAnsi="Trebuchet MS" w:cs="Trebuchet MS"/>
          <w:b/>
          <w:bCs/>
          <w:sz w:val="32"/>
          <w:szCs w:val="32"/>
        </w:rPr>
      </w:pPr>
      <w:r w:rsidRPr="00E6042F">
        <w:rPr>
          <w:rFonts w:ascii="Trebuchet MS" w:eastAsia="Trebuchet MS" w:hAnsi="Trebuchet MS" w:cs="Trebuchet MS"/>
          <w:b/>
          <w:bCs/>
          <w:sz w:val="32"/>
          <w:szCs w:val="32"/>
        </w:rPr>
        <w:t>While performing EDA we used two common techniques which are a part of EDA, first we’ve performed a Univariate Analysis which allowed us to understand insights of each column in our dataset. In our second part we used a technique which provided us with a deeper understanding of our dataset. Multivariate Analysis was the next step in our EDA, and it allows us to dive deeper into dataset as this technique let us compare two variables together. Based on both techniques we could provide a Final Recommendation for our client.</w:t>
      </w: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100F7B"/>
    <w:rsid w:val="00533C65"/>
    <w:rsid w:val="008277BC"/>
    <w:rsid w:val="009E55B5"/>
    <w:rsid w:val="00CE725B"/>
    <w:rsid w:val="00D419A3"/>
    <w:rsid w:val="00E6042F"/>
    <w:rsid w:val="00F833E6"/>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7</cp:revision>
  <dcterms:created xsi:type="dcterms:W3CDTF">2023-06-07T21:17:00Z</dcterms:created>
  <dcterms:modified xsi:type="dcterms:W3CDTF">2023-06-09T19:16:00Z</dcterms:modified>
</cp:coreProperties>
</file>