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line="240" w:lineRule="auto"/>
      </w:pPr>
    </w:p>
    <w:p>
      <w:pPr>
        <w:spacing w:after="240"/>
        <w:jc w:val="center"/>
      </w:pPr>
      <w:r>
        <w:rPr>
          <w:rFonts w:ascii="Calibri" w:hAnsi="Calibri" w:eastAsia="Calibri" w:cs="Calibri"/>
          <w:b/>
          <w:color w:val="8D6F36"/>
          <w:sz w:val="20"/>
        </w:rPr>
        <w:t>TRANSLATION RECORD</w:t>
      </w:r>
    </w:p>
    <w:p>
      <w:pPr>
        <w:spacing w:after="140"/>
        <w:jc w:val="center"/>
      </w:pPr>
      <w:r>
        <w:rPr>
          <w:rFonts w:ascii="Calibri" w:hAnsi="Calibri" w:eastAsia="Calibri" w:cs="Calibri"/>
          <w:b/>
          <w:color w:val="203748"/>
          <w:sz w:val="54"/>
        </w:rPr>
        <w:t>Verridia — Book One</w:t>
      </w:r>
    </w:p>
    <w:p>
      <w:pPr>
        <w:spacing w:after="460"/>
        <w:jc w:val="center"/>
      </w:pPr>
      <w:r>
        <w:rPr>
          <w:rFonts w:ascii="Calibri" w:hAnsi="Calibri" w:eastAsia="Calibri" w:cs="Calibri"/>
          <w:color w:val="2B5163"/>
          <w:sz w:val="28"/>
        </w:rPr>
        <w:t>Translator's Notes and Quality-Control Summary</w:t>
      </w:r>
    </w:p>
    <w:p>
      <w:pPr>
        <w:jc w:val="center"/>
      </w:pPr>
      <w:r>
        <w:rPr>
          <w:rFonts w:ascii="Calibri" w:hAnsi="Calibri" w:eastAsia="Calibri" w:cs="Calibri"/>
          <w:i/>
          <w:color w:val="696258"/>
          <w:sz w:val="20"/>
        </w:rPr>
        <w:t>Publication-preparation edition</w:t>
      </w:r>
    </w:p>
    <w:p>
      <w:r>
        <w:br w:type="page"/>
      </w:r>
    </w:p>
    <w:p>
      <w:pPr>
        <w:pStyle w:val="Heading1"/>
      </w:pPr>
      <w:r>
        <w:t>1. Scope and method</w:t>
      </w:r>
    </w:p>
    <w:p>
      <w:r>
        <w:rPr>
          <w:rFonts w:ascii="Calibri" w:hAnsi="Calibri" w:eastAsia="Calibri" w:cs="Calibri"/>
          <w:color w:val="201D1B"/>
          <w:sz w:val="22"/>
        </w:rPr>
        <w:t>The complete 53-chapter Turkish Book One manuscript was translated into contemporary American English. The work preserves past tense, close-third viewpoint, scene order, character decisions, and all established lore. No new scene, explanation, event, or dialogue was introduced.</w:t>
      </w:r>
    </w:p>
    <w:p>
      <w:r>
        <w:rPr>
          <w:rFonts w:ascii="Calibri" w:hAnsi="Calibri" w:eastAsia="Calibri" w:cs="Calibri"/>
          <w:color w:val="201D1B"/>
          <w:sz w:val="22"/>
        </w:rPr>
        <w:t>The four viewpoint voices remain deliberately distinct: Togan is physical and restrained; Temujin strategic and conditional; Karia blunt and administrative; Zaleena fast, transactional, and sardonic.</w:t>
      </w:r>
    </w:p>
    <w:p>
      <w:pPr>
        <w:pStyle w:val="Heading1"/>
      </w:pPr>
      <w:r>
        <w:t>2. Source control and completeness</w:t>
      </w:r>
    </w:p>
    <w:p>
      <w:r>
        <w:rPr>
          <w:rFonts w:ascii="Calibri" w:hAnsi="Calibri" w:eastAsia="Calibri" w:cs="Calibri"/>
          <w:color w:val="201D1B"/>
          <w:sz w:val="22"/>
        </w:rPr>
        <w:t>Turkish source commit: 18acd109430fd4b1cbf81fa8f1d2c25aa09d6910</w:t>
      </w:r>
    </w:p>
    <w:p>
      <w:r>
        <w:rPr>
          <w:rFonts w:ascii="Calibri" w:hAnsi="Calibri" w:eastAsia="Calibri" w:cs="Calibri"/>
          <w:color w:val="201D1B"/>
          <w:sz w:val="22"/>
        </w:rPr>
        <w:t>Compiled Turkish source SHA-256: 862B1E2A1A9343868A050C332462545D144E077DF12E9BF3A426D0B058B4DDE0</w:t>
      </w:r>
    </w:p>
    <w:p>
      <w:r>
        <w:rPr>
          <w:rFonts w:ascii="Calibri" w:hAnsi="Calibri" w:eastAsia="Calibri" w:cs="Calibri"/>
          <w:color w:val="201D1B"/>
          <w:sz w:val="22"/>
        </w:rPr>
        <w:t>Translation guide SHA-256: E7E0BCD566785733202A1287E78BDE4E9B6A5EF83F54DA795872366CF3E6A10D</w:t>
      </w:r>
    </w:p>
    <w:p>
      <w:r>
        <w:rPr>
          <w:rFonts w:ascii="Calibri" w:hAnsi="Calibri" w:eastAsia="Calibri" w:cs="Calibri"/>
          <w:color w:val="201D1B"/>
          <w:sz w:val="22"/>
        </w:rPr>
        <w:t>All 53 chapters are present and ordered across four parts. Source and translation paragraph counts match chapter by chapter. Scene breaks and internal section headings also match. Numeric records, votes, dates, losses, and time sequences were checked against the Turkish source.</w:t>
      </w:r>
    </w:p>
    <w:p>
      <w:pPr>
        <w:pStyle w:val="Heading1"/>
      </w:pPr>
      <w:r>
        <w:t>3. Canonical terminology</w:t>
      </w:r>
    </w:p>
    <w:tbl>
      <w:tblPr>
        <w:tblStyle w:val="TableGrid"/>
        <w:tblW w:type="dxa" w:w="9360"/>
        <w:jc w:val="left"/>
        <w:tblLayout w:type="fixed"/>
        <w:tblLook w:firstColumn="1" w:firstRow="1" w:lastColumn="0" w:lastRow="0" w:noHBand="0" w:noVBand="1" w:val="04A0"/>
        <w:tblInd w:w="120" w:type="dxa"/>
      </w:tblPr>
      <w:tblGrid>
        <w:gridCol w:w="3024"/>
        <w:gridCol w:w="6336"/>
      </w:tblGrid>
      <w:tr>
        <w:trPr>
          <w:tblHeader w:val="1"/>
        </w:trPr>
        <w:tc>
          <w:tcPr>
            <w:tcW w:type="dxa" w:w="3024"/>
            <w:shd w:fill="E8EEF5"/>
            <w:vAlign w:val="center"/>
            <w:tcMar>
              <w:top w:w="80" w:type="dxa"/>
              <w:start w:w="120" w:type="dxa"/>
              <w:bottom w:w="80" w:type="dxa"/>
              <w:end w:w="120" w:type="dxa"/>
            </w:tcMar>
          </w:tcPr>
          <w:p>
            <w:r>
              <w:rPr>
                <w:rFonts w:ascii="Calibri" w:hAnsi="Calibri" w:eastAsia="Calibri" w:cs="Calibri"/>
                <w:b/>
                <w:color w:val="201D1B"/>
                <w:sz w:val="20"/>
              </w:rPr>
              <w:t>Turkish source</w:t>
            </w:r>
          </w:p>
        </w:tc>
        <w:tc>
          <w:tcPr>
            <w:tcW w:type="dxa" w:w="6336"/>
            <w:shd w:fill="E8EEF5"/>
            <w:vAlign w:val="center"/>
            <w:tcMar>
              <w:top w:w="80" w:type="dxa"/>
              <w:start w:w="120" w:type="dxa"/>
              <w:bottom w:w="80" w:type="dxa"/>
              <w:end w:w="120" w:type="dxa"/>
            </w:tcMar>
          </w:tcPr>
          <w:p>
            <w:r>
              <w:rPr>
                <w:rFonts w:ascii="Calibri" w:hAnsi="Calibri" w:eastAsia="Calibri" w:cs="Calibri"/>
                <w:b/>
                <w:color w:val="201D1B"/>
                <w:sz w:val="20"/>
              </w:rPr>
              <w:t>Canonical English</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Rüzgâr-Dinleyen</w:t>
            </w:r>
          </w:p>
        </w:tc>
        <w:tc>
          <w:tcPr>
            <w:tcW w:type="dxa" w:w="6336"/>
            <w:vAlign w:val="center"/>
            <w:tcMar>
              <w:top w:w="80" w:type="dxa"/>
              <w:start w:w="120" w:type="dxa"/>
              <w:bottom w:w="80" w:type="dxa"/>
              <w:end w:w="120" w:type="dxa"/>
            </w:tcMar>
          </w:tcPr>
          <w:p>
            <w:r>
              <w:rPr>
                <w:rFonts w:ascii="Calibri" w:hAnsi="Calibri" w:eastAsia="Calibri" w:cs="Calibri"/>
                <w:color w:val="201D1B"/>
                <w:sz w:val="20"/>
              </w:rPr>
              <w:t>Windlistener / Windlisteners</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Gelgit Vârisi</w:t>
            </w:r>
          </w:p>
        </w:tc>
        <w:tc>
          <w:tcPr>
            <w:tcW w:type="dxa" w:w="6336"/>
            <w:vAlign w:val="center"/>
            <w:tcMar>
              <w:top w:w="80" w:type="dxa"/>
              <w:start w:w="120" w:type="dxa"/>
              <w:bottom w:w="80" w:type="dxa"/>
              <w:end w:w="120" w:type="dxa"/>
            </w:tcMar>
          </w:tcPr>
          <w:p>
            <w:r>
              <w:rPr>
                <w:rFonts w:ascii="Calibri" w:hAnsi="Calibri" w:eastAsia="Calibri" w:cs="Calibri"/>
                <w:color w:val="201D1B"/>
                <w:sz w:val="20"/>
              </w:rPr>
              <w:t>Tide-Heir</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Enkaz Kralı / Kraliçesi</w:t>
            </w:r>
          </w:p>
        </w:tc>
        <w:tc>
          <w:tcPr>
            <w:tcW w:type="dxa" w:w="6336"/>
            <w:vAlign w:val="center"/>
            <w:tcMar>
              <w:top w:w="80" w:type="dxa"/>
              <w:start w:w="120" w:type="dxa"/>
              <w:bottom w:w="80" w:type="dxa"/>
              <w:end w:w="120" w:type="dxa"/>
            </w:tcMar>
          </w:tcPr>
          <w:p>
            <w:r>
              <w:rPr>
                <w:rFonts w:ascii="Calibri" w:hAnsi="Calibri" w:eastAsia="Calibri" w:cs="Calibri"/>
                <w:color w:val="201D1B"/>
                <w:sz w:val="20"/>
              </w:rPr>
              <w:t>Wreck King / Wreck Queen</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Akıntı</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Current</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Akıntı Tozu</w:t>
            </w:r>
          </w:p>
        </w:tc>
        <w:tc>
          <w:tcPr>
            <w:tcW w:type="dxa" w:w="6336"/>
            <w:vAlign w:val="center"/>
            <w:tcMar>
              <w:top w:w="80" w:type="dxa"/>
              <w:start w:w="120" w:type="dxa"/>
              <w:bottom w:w="80" w:type="dxa"/>
              <w:end w:w="120" w:type="dxa"/>
            </w:tcMar>
          </w:tcPr>
          <w:p>
            <w:r>
              <w:rPr>
                <w:rFonts w:ascii="Calibri" w:hAnsi="Calibri" w:eastAsia="Calibri" w:cs="Calibri"/>
                <w:color w:val="201D1B"/>
                <w:sz w:val="20"/>
              </w:rPr>
              <w:t>Current Dust</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Gelgit-Çeliği</w:t>
            </w:r>
          </w:p>
        </w:tc>
        <w:tc>
          <w:tcPr>
            <w:tcW w:type="dxa" w:w="6336"/>
            <w:vAlign w:val="center"/>
            <w:tcMar>
              <w:top w:w="80" w:type="dxa"/>
              <w:start w:w="120" w:type="dxa"/>
              <w:bottom w:w="80" w:type="dxa"/>
              <w:end w:w="120" w:type="dxa"/>
            </w:tcMar>
          </w:tcPr>
          <w:p>
            <w:r>
              <w:rPr>
                <w:rFonts w:ascii="Calibri" w:hAnsi="Calibri" w:eastAsia="Calibri" w:cs="Calibri"/>
                <w:color w:val="201D1B"/>
                <w:sz w:val="20"/>
              </w:rPr>
              <w:t>tide-steel</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Kızıl Sürü</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Crimson Host</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Tek Göz / Tek Göz Orkhon</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One Eye / One-Eye Orkhon</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Işık Seddi / Sed</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Wall of Light / the Wall</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Mirasçılar</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Inheritors / an Inheritor</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Damgalılar</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Branded</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Deniz Hayaleti</w:t>
            </w:r>
          </w:p>
        </w:tc>
        <w:tc>
          <w:tcPr>
            <w:tcW w:type="dxa" w:w="6336"/>
            <w:vAlign w:val="center"/>
            <w:tcMar>
              <w:top w:w="80" w:type="dxa"/>
              <w:start w:w="120" w:type="dxa"/>
              <w:bottom w:w="80" w:type="dxa"/>
              <w:end w:w="120" w:type="dxa"/>
            </w:tcMar>
          </w:tcPr>
          <w:p>
            <w:r>
              <w:rPr>
                <w:rFonts w:ascii="Calibri" w:hAnsi="Calibri" w:eastAsia="Calibri" w:cs="Calibri"/>
                <w:color w:val="201D1B"/>
                <w:sz w:val="20"/>
              </w:rPr>
              <w:t>Sea Ghost (ship name, italicized)</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Yosun-Devi</w:t>
            </w:r>
          </w:p>
        </w:tc>
        <w:tc>
          <w:tcPr>
            <w:tcW w:type="dxa" w:w="6336"/>
            <w:vAlign w:val="center"/>
            <w:tcMar>
              <w:top w:w="80" w:type="dxa"/>
              <w:start w:w="120" w:type="dxa"/>
              <w:bottom w:w="80" w:type="dxa"/>
              <w:end w:w="120" w:type="dxa"/>
            </w:tcMar>
          </w:tcPr>
          <w:p>
            <w:r>
              <w:rPr>
                <w:rFonts w:ascii="Calibri" w:hAnsi="Calibri" w:eastAsia="Calibri" w:cs="Calibri"/>
                <w:color w:val="201D1B"/>
                <w:sz w:val="20"/>
              </w:rPr>
              <w:t>kelp giant</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Deniz-Titreten</w:t>
            </w:r>
          </w:p>
        </w:tc>
        <w:tc>
          <w:tcPr>
            <w:tcW w:type="dxa" w:w="6336"/>
            <w:vAlign w:val="center"/>
            <w:tcMar>
              <w:top w:w="80" w:type="dxa"/>
              <w:start w:w="120" w:type="dxa"/>
              <w:bottom w:w="80" w:type="dxa"/>
              <w:end w:w="120" w:type="dxa"/>
            </w:tcMar>
          </w:tcPr>
          <w:p>
            <w:r>
              <w:rPr>
                <w:rFonts w:ascii="Calibri" w:hAnsi="Calibri" w:eastAsia="Calibri" w:cs="Calibri"/>
                <w:color w:val="201D1B"/>
                <w:sz w:val="20"/>
              </w:rPr>
              <w:t>Sea-Shaker</w:t>
            </w:r>
          </w:p>
        </w:tc>
      </w:tr>
    </w:tbl>
    <w:p>
      <w:pPr>
        <w:pStyle w:val="Heading1"/>
      </w:pPr>
      <w:r>
        <w:t>4. Additional translation decisions</w:t>
      </w:r>
    </w:p>
    <w:tbl>
      <w:tblPr>
        <w:tblStyle w:val="TableGrid"/>
        <w:tblW w:type="dxa" w:w="9360"/>
        <w:jc w:val="left"/>
        <w:tblLayout w:type="fixed"/>
        <w:tblLook w:firstColumn="1" w:firstRow="1" w:lastColumn="0" w:lastRow="0" w:noHBand="0" w:noVBand="1" w:val="04A0"/>
        <w:tblInd w:w="120" w:type="dxa"/>
      </w:tblPr>
      <w:tblGrid>
        <w:gridCol w:w="3024"/>
        <w:gridCol w:w="6336"/>
      </w:tblGrid>
      <w:tr>
        <w:trPr>
          <w:tblHeader w:val="1"/>
        </w:trPr>
        <w:tc>
          <w:tcPr>
            <w:tcW w:type="dxa" w:w="3024"/>
            <w:shd w:fill="E8EEF5"/>
            <w:tcMar>
              <w:top w:w="80" w:type="dxa"/>
              <w:start w:w="120" w:type="dxa"/>
              <w:bottom w:w="80" w:type="dxa"/>
              <w:end w:w="120" w:type="dxa"/>
            </w:tcMar>
          </w:tcPr>
          <w:p>
            <w:r>
              <w:rPr>
                <w:rFonts w:ascii="Calibri" w:hAnsi="Calibri" w:eastAsia="Calibri" w:cs="Calibri"/>
                <w:b/>
                <w:color w:val="201D1B"/>
                <w:sz w:val="20"/>
              </w:rPr>
              <w:t>Source term</w:t>
            </w:r>
          </w:p>
        </w:tc>
        <w:tc>
          <w:tcPr>
            <w:tcW w:type="dxa" w:w="6336"/>
            <w:shd w:fill="E8EEF5"/>
            <w:tcMar>
              <w:top w:w="80" w:type="dxa"/>
              <w:start w:w="120" w:type="dxa"/>
              <w:bottom w:w="80" w:type="dxa"/>
              <w:end w:w="120" w:type="dxa"/>
            </w:tcMar>
          </w:tcPr>
          <w:p>
            <w:r>
              <w:rPr>
                <w:rFonts w:ascii="Calibri" w:hAnsi="Calibri" w:eastAsia="Calibri" w:cs="Calibri"/>
                <w:b/>
                <w:color w:val="201D1B"/>
                <w:sz w:val="20"/>
              </w:rPr>
              <w:t>English decision</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Kor-Ateşler</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Ember-Fires; singular: an Ember-Fire</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Sarmaşan</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Sarmaşan / the Sarmaşan River, according to context</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Anya Ana</w:t>
            </w:r>
          </w:p>
        </w:tc>
        <w:tc>
          <w:tcPr>
            <w:tcW w:type="dxa" w:w="6336"/>
            <w:vAlign w:val="center"/>
            <w:tcMar>
              <w:top w:w="80" w:type="dxa"/>
              <w:start w:w="120" w:type="dxa"/>
              <w:bottom w:w="80" w:type="dxa"/>
              <w:end w:w="120" w:type="dxa"/>
            </w:tcMar>
          </w:tcPr>
          <w:p>
            <w:r>
              <w:rPr>
                <w:rFonts w:ascii="Calibri" w:hAnsi="Calibri" w:eastAsia="Calibri" w:cs="Calibri"/>
                <w:color w:val="201D1B"/>
                <w:sz w:val="20"/>
              </w:rPr>
              <w:t>Mother Anya</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Bozkır</w:t>
            </w:r>
          </w:p>
        </w:tc>
        <w:tc>
          <w:tcPr>
            <w:tcW w:type="dxa" w:w="6336"/>
            <w:vAlign w:val="center"/>
            <w:tcMar>
              <w:top w:w="80" w:type="dxa"/>
              <w:start w:w="120" w:type="dxa"/>
              <w:bottom w:w="80" w:type="dxa"/>
              <w:end w:w="120" w:type="dxa"/>
            </w:tcMar>
          </w:tcPr>
          <w:p>
            <w:r>
              <w:rPr>
                <w:rFonts w:ascii="Calibri" w:hAnsi="Calibri" w:eastAsia="Calibri" w:cs="Calibri"/>
                <w:color w:val="201D1B"/>
                <w:sz w:val="20"/>
              </w:rPr>
              <w:t>Bozkır; the horse's proper name and diacritic are retained</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Boğucu Ana</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Drowning Mother; ship: Oath of the Drowning Mother</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Kuzey Sefer Yolu</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Northern Campaign Road</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Sis-İşçileri</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Mist Workers</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Çatlak Kurukafa</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Cracked Skull</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Paslı Finn</w:t>
            </w:r>
          </w:p>
        </w:tc>
        <w:tc>
          <w:tcPr>
            <w:tcW w:type="dxa" w:w="6336"/>
            <w:vAlign w:val="center"/>
            <w:tcMar>
              <w:top w:w="80" w:type="dxa"/>
              <w:start w:w="120" w:type="dxa"/>
              <w:bottom w:w="80" w:type="dxa"/>
              <w:end w:w="120" w:type="dxa"/>
            </w:tcMar>
          </w:tcPr>
          <w:p>
            <w:r>
              <w:rPr>
                <w:rFonts w:ascii="Calibri" w:hAnsi="Calibri" w:eastAsia="Calibri" w:cs="Calibri"/>
                <w:color w:val="201D1B"/>
                <w:sz w:val="20"/>
              </w:rPr>
              <w:t>Rusty Finn</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Eskiler</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Ancients when naming the old civilization</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Tek-Kol Roric</w:t>
            </w:r>
          </w:p>
        </w:tc>
        <w:tc>
          <w:tcPr>
            <w:tcW w:type="dxa" w:w="6336"/>
            <w:vAlign w:val="center"/>
            <w:tcMar>
              <w:top w:w="80" w:type="dxa"/>
              <w:start w:w="120" w:type="dxa"/>
              <w:bottom w:w="80" w:type="dxa"/>
              <w:end w:w="120" w:type="dxa"/>
            </w:tcMar>
          </w:tcPr>
          <w:p>
            <w:r>
              <w:rPr>
                <w:rFonts w:ascii="Calibri" w:hAnsi="Calibri" w:eastAsia="Calibri" w:cs="Calibri"/>
                <w:color w:val="201D1B"/>
                <w:sz w:val="20"/>
              </w:rPr>
              <w:t>One-Armed Roric</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Gelgit Lejyonları</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Tide Legions</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Karanlık Ay / Beklenti Yılı</w:t>
            </w:r>
          </w:p>
        </w:tc>
        <w:tc>
          <w:tcPr>
            <w:tcW w:type="dxa" w:w="6336"/>
            <w:vAlign w:val="center"/>
            <w:tcMar>
              <w:top w:w="80" w:type="dxa"/>
              <w:start w:w="120" w:type="dxa"/>
              <w:bottom w:w="80" w:type="dxa"/>
              <w:end w:w="120" w:type="dxa"/>
            </w:tcMar>
          </w:tcPr>
          <w:p>
            <w:r>
              <w:rPr>
                <w:rFonts w:ascii="Calibri" w:hAnsi="Calibri" w:eastAsia="Calibri" w:cs="Calibri"/>
                <w:color w:val="201D1B"/>
                <w:sz w:val="20"/>
              </w:rPr>
              <w:t>the Dark Month / the Year of Waiting</w:t>
            </w:r>
          </w:p>
        </w:tc>
      </w:tr>
      <w:tr>
        <w:tc>
          <w:tcPr>
            <w:tcW w:type="dxa" w:w="3024"/>
            <w:vAlign w:val="center"/>
            <w:tcMar>
              <w:top w:w="80" w:type="dxa"/>
              <w:start w:w="120" w:type="dxa"/>
              <w:bottom w:w="80" w:type="dxa"/>
              <w:end w:w="120" w:type="dxa"/>
            </w:tcMar>
          </w:tcPr>
          <w:p>
            <w:r>
              <w:rPr>
                <w:rFonts w:ascii="Calibri" w:hAnsi="Calibri" w:eastAsia="Calibri" w:cs="Calibri"/>
                <w:color w:val="201D1B"/>
                <w:sz w:val="20"/>
              </w:rPr>
              <w:t>süt ablası / süt kardeşi</w:t>
            </w:r>
          </w:p>
        </w:tc>
        <w:tc>
          <w:tcPr>
            <w:tcW w:type="dxa" w:w="6336"/>
            <w:vAlign w:val="center"/>
            <w:tcMar>
              <w:top w:w="80" w:type="dxa"/>
              <w:start w:w="120" w:type="dxa"/>
              <w:bottom w:w="80" w:type="dxa"/>
              <w:end w:w="120" w:type="dxa"/>
            </w:tcMar>
          </w:tcPr>
          <w:p>
            <w:r>
              <w:rPr>
                <w:rFonts w:ascii="Calibri" w:hAnsi="Calibri" w:eastAsia="Calibri" w:cs="Calibri"/>
                <w:color w:val="201D1B"/>
                <w:sz w:val="20"/>
              </w:rPr>
              <w:t>milk-sister / milk-brother</w:t>
            </w:r>
          </w:p>
        </w:tc>
      </w:tr>
    </w:tbl>
    <w:p>
      <w:pPr>
        <w:pStyle w:val="Heading1"/>
      </w:pPr>
      <w:r>
        <w:t>5. Source correction retained</w:t>
      </w:r>
    </w:p>
    <w:p>
      <w:r>
        <w:rPr>
          <w:rFonts w:ascii="Calibri" w:hAnsi="Calibri" w:eastAsia="Calibri" w:cs="Calibri"/>
          <w:color w:val="201D1B"/>
          <w:sz w:val="22"/>
        </w:rPr>
        <w:t>Chapter 1 does not name Seren before Togan learns her identity. The English reads “enough silver to pay a healer if he needed one,” preserving the corrected close-third viewpoint in the current Turkish source.</w:t>
      </w:r>
    </w:p>
    <w:p>
      <w:pPr>
        <w:pStyle w:val="Heading1"/>
      </w:pPr>
      <w:r>
        <w:t>6. Editorial interventions</w:t>
      </w:r>
    </w:p>
    <w:p>
      <w:r>
        <w:rPr>
          <w:rFonts w:ascii="Calibri" w:hAnsi="Calibri" w:eastAsia="Calibri" w:cs="Calibri"/>
          <w:color w:val="201D1B"/>
          <w:sz w:val="22"/>
        </w:rPr>
        <w:t>The English-only line edit removed literal Turkish syntax where it impeded natural prose, standardized American usage, corrected a single pronoun error affecting Zaleena, and unified all locked terms. These interventions do not change plot, characterization, chronology, or worldbuilding.</w:t>
      </w:r>
    </w:p>
    <w:p>
      <w:r>
        <w:rPr>
          <w:rFonts w:ascii="Calibri" w:hAnsi="Calibri" w:eastAsia="Calibri" w:cs="Calibri"/>
          <w:color w:val="201D1B"/>
          <w:sz w:val="22"/>
        </w:rPr>
        <w:t>No cuts or structural changes were applied.</w:t>
      </w:r>
    </w:p>
    <w:p>
      <w:pPr>
        <w:pStyle w:val="Heading1"/>
      </w:pPr>
      <w:r>
        <w:t>7. Final quality-control result</w:t>
      </w:r>
    </w:p>
    <w:p>
      <w:r>
        <w:rPr>
          <w:rFonts w:ascii="Calibri" w:hAnsi="Calibri" w:eastAsia="Calibri" w:cs="Calibri"/>
          <w:color w:val="201D1B"/>
          <w:sz w:val="22"/>
        </w:rPr>
        <w:t>PASS — 53 chapters present; chapter titles match the translation guide; paragraph and scene structure matches the source; straight double quotation marks are balanced; inline italics are balanced; prohibited terminology variants are absent; American spelling is consistent; no known Turkish prose remains in the English manuscript.</w:t>
      </w:r>
    </w:p>
    <w:p>
      <w:r>
        <w:rPr>
          <w:rFonts w:ascii="Calibri" w:hAnsi="Calibri" w:eastAsia="Calibri" w:cs="Calibri"/>
          <w:color w:val="201D1B"/>
          <w:sz w:val="22"/>
        </w:rPr>
        <w:t>Open ambiguities: none requiring a reader-facing footnote or an unresolved editorial decision in Book One. The additional terms recorded above should remain stable when Books Two and Three are translated unless later canon requires a documented global change.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color w:val="69625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s="Calibri"/>
        <w:b/>
        <w:color w:val="696258"/>
        <w:sz w:val="16"/>
      </w:rPr>
      <w:t>VERRIDIA  ·  BOOK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s="Calibri"/>
      <w:b w:val="0"/>
      <w:i w:val="0"/>
      <w:color w:val="201D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1"/>
      <w:keepLines/>
      <w:spacing w:before="360" w:after="200"/>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val="1"/>
      <w:keepLines/>
      <w:spacing w:before="280" w:after="140"/>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val="1"/>
      <w:keepLines/>
      <w:spacing w:before="200" w:after="100"/>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Verridia Book One — Translator's Notes</dc:title>
  <dc:subject>English translation decisions and quality-control record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