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Öğrenciye Özel Öğrenme Yolu Üretimi</w:t>
      </w:r>
    </w:p>
    <w:p>
      <w:pPr>
        <w:pStyle w:val="Author"/>
        <w:spacing w:before="5pt" w:beforeAutospacing="1" w:after="5pt" w:afterAutospacing="1"/>
        <w:sectPr w:rsidSect="001A3B3D">
          <w:pgSz w:w="612pt" w:h="792pt" w:code="1"/>
          <w:pgMar w:top="54pt" w:right="44.65pt" w:bottom="72pt" w:left="44.65pt" w:header="36pt" w:footer="36pt" w:gutter="0pt"/>
          <w:cols w:space="36pt"/>
          <w:docGrid w:linePitch="360"/>
        </w:sectPr>
      </w:pPr>
    </w:p>
    <w:p>
      <w:pPr>
        <w:pStyle w:val="Author"/>
        <w:spacing w:before="5pt" w:beforeAutospacing="1"/>
        <w:sectPr w:rsidSect="00F847A6">
          <w:type w:val="continuous"/>
          <w:pgSz w:w="612pt" w:h="792pt" w:code="1"/>
          <w:pgMar w:top="54pt" w:right="44.65pt" w:bottom="72pt" w:left="44.65pt" w:header="36pt" w:footer="36pt" w:gutter="0pt"/>
          <w:cols w:num="2" w:space="10.80pt"/>
          <w:docGrid w:linePitch="360"/>
        </w:sectPr>
      </w:pPr>
      <w:r>
        <w:rPr>
          <w:sz w:val="18"/>
          <w:szCs w:val="18"/>
        </w:rPr>
        <w:t>Ahmet Yimenicioğlu</w:t>
      </w:r>
      <w:r>
        <w:rPr>
          <w:sz w:val="18"/>
          <w:szCs w:val="18"/>
        </w:rPr>
        <w:br/>
        <w:t xml:space="preserve">Bilgisayar Mühendisliği Bölümü</w:t>
      </w:r>
      <w:r>
        <w:rPr>
          <w:sz w:val="18"/>
          <w:szCs w:val="18"/>
        </w:rPr>
        <w:br/>
        <w:t>Kastamonu Üniversitesi</w:t>
      </w:r>
      <w:r>
        <w:rPr>
          <w:sz w:val="18"/>
          <w:szCs w:val="18"/>
        </w:rPr>
        <w:br/>
        <w:t>Kastamonu, Türkiye</w:t>
      </w:r>
    </w:p>
    <w:p>
      <w:pPr>
        <w:pStyle w:val="Abstract"/>
        <w:sectPr w:rsidSect="00F847A6">
          <w:type w:val="continuous"/>
          <w:pgSz w:w="612pt" w:h="792pt" w:code="1"/>
          <w:pgMar w:top="54pt" w:right="44.65pt" w:bottom="72pt" w:left="44.65pt" w:header="36pt" w:footer="36pt" w:gutter="0pt"/>
          <w:cols w:space="36pt"/>
          <w:docGrid w:linePitch="360"/>
        </w:sectPr>
      </w:pPr>
      <w:r>
        <w:rPr>
          <w:i/>
          <w:iCs/>
        </w:rPr>
        <w:t>Özet</w:t>
      </w:r>
      <w:r>
        <w:t>—</w:t>
      </w:r>
      <w:r>
        <w:t xml:space="preserve"> Mühendislik eğitiminde karşılaşılan çalışma planlaması zorluklarına kalıcı bir çözüm getirmek amacıyla bu çalışmada yapay zeka destekli bir otomasyon mimarisi oluşturulmuştur. Web arayüzü, MS SQL veritabanı, n8n iş akışı yöneticisi ve Gemini modeli birleştirilerek otonom çalışan bir sistem oluşturuldu. Uçtan uca test edilen mimaride, farklı parçaların yüksek uyumu dikkat çekmiştir. Özellikle dış API çağrılarında yaşanan anlık kesintiler, sisteme eklenen otomatik yeniden deneme mekanizması hizmetin çökmesi engellenmiştir. Gerçekleştirilen ölçümler, bu yapının eğitim planlamasında son derece verimli bir alternatif sunduğunu kanıtlamaktadır.</w:t>
      </w:r>
    </w:p>
    <w:p>
      <w:pPr>
        <w:pStyle w:val="Keywords"/>
      </w:pPr>
      <w:r>
        <w:rPr>
          <w:i/>
          <w:iCs/>
        </w:rPr>
        <w:t>Anahtar Kelimeler</w:t>
      </w:r>
      <w:r>
        <w:t xml:space="preserve">—n8n akışları, veri yönetimi, MS SQL Server, yapay zeka entegrasyonu, hata yönetimi.</w:t>
      </w:r>
    </w:p>
    <w:p>
      <w:pPr>
        <w:pStyle w:val="Heading1"/>
      </w:pPr>
      <w:r>
        <w:t>I. GİRİŞ</w:t>
      </w:r>
    </w:p>
    <w:p>
      <w:pPr>
        <w:pStyle w:val="BodyText"/>
      </w:pPr>
      <w:r>
        <w:t xml:space="preserve">Mühendislik eğitiminde öğrencilerin kendi hedeflerine uygun günlük çalışma takvimleri oluşturması epey karmaşık ve vakit alan bir problemdir. Dijital ortamdaki aşırı bilgi yığılması bu süreci daha da zorlaştırmaktadır. Büyük Dil Modellerinin son yıllardaki ivmesi ise söz konusu planlama sıkıntılarını aşmak için çok güçlü bir altyapı sunuyor [1], [2]. Sınırlı bir kullanıcı girdisiyle kapsamlı eğitim müfredatları saniyeler içinde üretilebilmektedir [3], [4]. Geliştirilen bu projede süreci tamamen otonom hale getiren; hedef girdisinden doğrudan üç haftalık yapılandırılmış çalışma planı üreten entegre bir sistem tasarlanmıştır.</w:t>
      </w:r>
    </w:p>
    <w:p>
      <w:pPr>
        <w:pStyle w:val="BodyText"/>
      </w:pPr>
      <w:r>
        <w:t xml:space="preserve">Mimarinin merkezinde n8n platformu konumlandırılmıştır. Servis odaklı mimari standartları [5], [6] referans alınarak farklı programların haberleşmesi Webhook tetikleyicileri üzerinden sağlandı [7]. Veri kalıcılığını garanti altına almak için mimariye SQL tabanlı bir ilişkisel veritabanı eklendi [8], [9]. Arayüz, veritabanı ve üretken yapay zeka gibi bağımsız katmanların tek bir iş akışında toplanması geliştirme sürecinin en kritik aşamasını oluşturuyordu [10]. Ancak n8n platformunun sunduğu esnek yapı sayesinde bu birleşme sağlanmıştır.</w:t>
      </w:r>
    </w:p>
    <w:p>
      <w:pPr>
        <w:pStyle w:val="Heading1"/>
      </w:pPr>
      <w:r>
        <w:t>II. SİSTEM TASARIMI</w:t>
      </w:r>
    </w:p>
    <w:p>
      <w:pPr>
        <w:pStyle w:val="BodyText"/>
      </w:pPr>
      <w:r>
        <w:t xml:space="preserve">Bu yapı oluşturulurken; kullanıcı arayüzü, iş mantığını yürüten n8n ara katmanı ve veri depolama olmak üzere üç temel bileşene ayrılmıştır [11]. Tercih edilen bu yapı, aslında modern dağıtık sistem mimarilerindeki [12], [13] standart yaklaşımların ölçeklendirilmiş halidir.</w:t>
      </w:r>
    </w:p>
    <w:p>
      <w:pPr>
        <w:pStyle w:val="Heading2"/>
      </w:pPr>
      <w:r>
        <w:t>A. İstemci Tarafı ve Webhook Bağlantısı</w:t>
      </w:r>
    </w:p>
    <w:p>
      <w:pPr>
        <w:pStyle w:val="BodyText"/>
      </w:pPr>
      <w:r>
        <w:t xml:space="preserve">Arayüz tasarımı rahat erişilebilirlik hedefiyle temel HTML ve JavaScript kullanılarak kodlanmıştır. Öğrencinin forma girdiği isim ve hedef bilgisi, JSON formatında paketlenerek n8n üzerindeki Webhook uç noktasına gönderilmektedir [14]. Arka planda çalışan karmaşık süreçler kullanıcıdan tamamen gizlenmiştir; saniyeler içinde doğrudan eğitim planı ekrana yansır. Haberleşme kurgusu, RESTful mimarinin doğasında bulunan aynı anda gerçekleşmeyen veri transferi prensiplerine dayanmaktadır [15].</w:t>
      </w:r>
    </w:p>
    <w:p>
      <w:pPr>
        <w:pStyle w:val="Heading2"/>
      </w:pPr>
      <w:r>
        <w:t>B. Veritabanı Mimarisi</w:t>
      </w:r>
    </w:p>
    <w:p>
      <w:pPr>
        <w:pStyle w:val="BodyText"/>
      </w:pPr>
      <w:r>
        <w:t xml:space="preserve">Sistemdeki kayıtların yönetimi için Microsoft SQL Server altyapısı tercih edilmiştir [16]. Webhook üzerinden sisteme düşen her form talebi, anında “Bekliyor” durumuyla veritabanına işlenir [17]. Doğrudan yapay zekaya gitmek yerine araya bu veritabanı adımının eklenmesi dışarıdan fazladan bir iş yükü gibi görünebilir. Fakat sistemin çökme senaryolarında, hangi işlemin yarıda kaldığı sadece bu durum kayıtları incelenerek bulunabildiği için önemlidir [18].</w:t>
      </w:r>
    </w:p>
    <w:p>
      <w:pPr>
        <w:pStyle w:val="Heading2"/>
      </w:pPr>
      <w:r>
        <w:t>C. Yapay Zeka Bağlantısı ve İş Akışı</w:t>
      </w:r>
    </w:p>
    <w:p>
      <w:pPr>
        <w:pStyle w:val="BodyText"/>
      </w:pPr>
      <w:r>
        <w:t xml:space="preserve">n8n üzerinde üç kritik karar noktası tanımlanmıştır:</w:t>
      </w:r>
    </w:p>
    <w:p>
      <w:pPr>
        <w:pStyle w:val="BodyText"/>
      </w:pPr>
      <w:r>
        <w:rPr>
          <w:b/>
        </w:rPr>
        <w:t xml:space="preserve">AI Agent Düğümü: </w:t>
      </w:r>
      <w:r>
        <w:t xml:space="preserve">Veritabanına düşen talepler, içerik üretimi için Google Gemini modeline aktarılır. İşlem hızı ve uzun metinleri analiz yeteneği göz önüne alınarak testler sonucunda gemini-2.5-flash sürümü kullanılmıştır [19].</w:t>
      </w:r>
    </w:p>
    <w:p>
      <w:pPr>
        <w:pStyle w:val="BodyText"/>
      </w:pPr>
      <w:r>
        <w:rPr>
          <w:b/>
        </w:rPr>
        <w:t xml:space="preserve">Hata Toleransı: </w:t>
      </w:r>
      <w:r>
        <w:t xml:space="preserve">Testler sırasında Gemini API uç noktasından kaynaklı dönemsel 503 hataları tespit edildi. Sistemin bu anlarda kilitlenip çökmemesi adına yapay zeka düğümüne otomatik yeniden deneme özelliği [20] eklenmiştir. Başarısız olan istekler iptal edilmek yerine 2 saniye bekletilip en fazla 5 kez baştan denenmektedir. Yapılan bu ufak müdahale, dış servislerden kaynaklı çökme risklerini büyük oranda ortadan kaldırdı.</w:t>
      </w:r>
    </w:p>
    <w:p>
      <w:pPr>
        <w:pStyle w:val="BodyText"/>
      </w:pPr>
      <w:r>
        <w:rPr>
          <w:b/>
        </w:rPr>
        <w:t xml:space="preserve">Yanıtın Gönderilmesi: </w:t>
      </w:r>
      <w:r>
        <w:t xml:space="preserve">Dil modeli tarafından oluşturulan “1. Hafta”, “2. Hafta” şeklindeki metinler, bir JSON paketi içine yerleştirilerek doğrudan web arayüzüne geri dönmektedir.</w:t>
      </w:r>
    </w:p>
    <w:p>
      <w:pPr>
        <w:pStyle w:val="Heading1"/>
      </w:pPr>
      <w:r>
        <w:t>III. BULGULAR VE TARTIŞMA</w:t>
      </w:r>
    </w:p>
    <w:p>
      <w:pPr>
        <w:pStyle w:val="BodyText"/>
      </w:pPr>
      <w:r>
        <w:t xml:space="preserve">Sistemin canlı ortam testlerinde alınan yanıt süreleri açıkçası beklentilerin oldukça üzerindedir. İstemci verisinin SQL’e yazılması, oradan n8n üzerinden Gemini’ye iletilip sonucun dönmesi adımlarının toplamı normalde uzun sürmesi gerekirken, her şey 3 ila 5 saniye arasında tamamlanmıştır.</w:t>
      </w:r>
    </w:p>
    <w:p>
      <w:pPr>
        <w:pStyle w:val="BodyText"/>
      </w:pPr>
      <w:r>
        <w:t xml:space="preserve">Tüm bunlara rağmen geliştirme aşamasında bazı zorluklar yaşanmıştır. Özellikle dil modelinden dönen uzun metnin web sayfasında doğru başlıklara parçalanması sistemi epey yordu. Bu parsing hatası, prompt içine “başlıkları şu kesin formatta vereceksin” şeklinde katı kurallar tanımlanarak çözülebilmiştir. Ek olarak, MS SQL Server şifrelerinin açıkta kalmaması için n8n ortamında izole edilmesi sağlanmış ve olası unutkanlıkların yaratacağı güvenlik açıklarının önüne geçilmiştir.</w:t>
      </w:r>
    </w:p>
    <w:p>
      <w:pPr>
        <w:pStyle w:val="Heading1"/>
      </w:pPr>
      <w:r>
        <w:t>IV. SONUÇ VE GELECEK ÇALIŞMALAR</w:t>
      </w:r>
    </w:p>
    <w:p>
      <w:pPr>
        <w:pStyle w:val="BodyText"/>
      </w:pPr>
      <w:r>
        <w:t xml:space="preserve">Yapılan bu çalışmada, bir yapay zeka API’sinin basit web teknolojileri ve veritabanıyla entegre edildiğinde ne kadar faydalı eğitim ürünleri ortaya çıkarabileceği kanıtlanmıştır. Birkaç haftalık süreç içerisinde baştan sona eksiksiz çalışan bir otomasyon sistemini ayağa kaldırmak oldukça başarılı bir mühendislik tecrübesi sundu.</w:t>
      </w:r>
    </w:p>
    <w:p>
      <w:pPr>
        <w:pStyle w:val="BodyText"/>
      </w:pPr>
      <w:r>
        <w:t xml:space="preserve">Sistemin ilerleyen versiyonlarında çözülmesi hedeflenen iki kısıt bulunmaktadır. Birincisi erişim güvenliğidir; Webhook uç noktasına JWT tabanlı bir giriş yetkilendirmesi eklenmezse dışarıdan sahte istek gönderilmesi mümkündür. İkincisi ise anlık yoğunluk problemidir. Eşzamanlı olarak yüzlerce öğrenci sisteme yüklendiğinde mevcut mimari tıkanacaktır; bu senaryonun yaşanmaması için projeye mutlaka bir mesaj kuyruğu (message queue) bağlanması gerekmektedir.</w:t>
      </w:r>
    </w:p>
    <w:p>
      <w:pPr>
        <w:pStyle w:val="Heading1"/>
      </w:pPr>
      <w:r>
        <w:t>REFERANSLAR</w:t>
      </w:r>
    </w:p>
    <w:p>
      <w:pPr>
        <w:pStyle w:val="references"/>
        <w:ind w:start="18pt" w:hanging="18pt"/>
      </w:pPr>
      <w:r>
        <w:t xml:space="preserve">[1] T. Brown et al., “Language models are few-shot learners,” Advances in Neural Information Processing Systems, vol. 33, pp. 1877-1901, 2020.</w:t>
      </w:r>
    </w:p>
    <w:p>
      <w:pPr>
        <w:pStyle w:val="references"/>
        <w:ind w:start="18pt" w:hanging="18pt"/>
      </w:pPr>
      <w:r>
        <w:t xml:space="preserve">[2] A. Vaswani et al., “Attention is all you need,” Advances in Neural Information Processing Systems, vol. 30, pp. 5998-6008, 2017.</w:t>
      </w:r>
    </w:p>
    <w:p>
      <w:pPr>
        <w:pStyle w:val="references"/>
        <w:ind w:start="18pt" w:hanging="18pt"/>
      </w:pPr>
      <w:r>
        <w:t xml:space="preserve">[3] J. Devlin, M. W-Chang, K. Lee, and K. Toutanova, “BERT: Pre-training of deep bidirectional transformers for language understanding,” arXiv preprint arXiv:1810.04805, 2018.</w:t>
      </w:r>
    </w:p>
    <w:p>
      <w:pPr>
        <w:pStyle w:val="references"/>
        <w:ind w:start="18pt" w:hanging="18pt"/>
      </w:pPr>
      <w:r>
        <w:t xml:space="preserve">[4] S. Bubeck et al., “Sparks of artificial general intelligence: Early experiments with GPT-4,” arXiv preprint arXiv:2303.12712, 2023.</w:t>
      </w:r>
    </w:p>
    <w:p>
      <w:pPr>
        <w:pStyle w:val="references"/>
        <w:ind w:start="18pt" w:hanging="18pt"/>
      </w:pPr>
      <w:r>
        <w:t xml:space="preserve">[5] T. Erl, Service-Oriented Architecture: Concepts, Technology, and Design. Upper Saddle River, NJ: Prentice Hall, 2005.</w:t>
      </w:r>
    </w:p>
    <w:p>
      <w:pPr>
        <w:pStyle w:val="references"/>
        <w:ind w:start="18pt" w:hanging="18pt"/>
      </w:pPr>
      <w:r>
        <w:t xml:space="preserve">[6] M. Fowler and J. Lewis, “Microservices,” ThoughtWorks, 2014. [Online]. Available: https://martinfowler.com/articles/microservices.html.</w:t>
      </w:r>
    </w:p>
    <w:p>
      <w:pPr>
        <w:pStyle w:val="references"/>
        <w:ind w:start="18pt" w:hanging="18pt"/>
      </w:pPr>
      <w:r>
        <w:t xml:space="preserve">[7] N. Dragoni et al., “Microservices: yesterday, today, and tomorrow,” in Present and Ulterior Software Engineering, Cham: Springer, 2017, pp. 195-216.</w:t>
      </w:r>
    </w:p>
    <w:p>
      <w:pPr>
        <w:pStyle w:val="references"/>
        <w:ind w:start="18pt" w:hanging="18pt"/>
      </w:pPr>
      <w:r>
        <w:t xml:space="preserve">[8] R. Elmasri and S. B. Navathe, Fundamentals of Database Systems, 7th ed. Hoboken, NJ: Pearson, 2015.</w:t>
      </w:r>
    </w:p>
    <w:p>
      <w:pPr>
        <w:pStyle w:val="references"/>
        <w:ind w:start="18pt" w:hanging="18pt"/>
      </w:pPr>
      <w:r>
        <w:t xml:space="preserve">[9] A. Silberschatz, H. F. Korth, and S. Sudarshan, Database System Concepts, 6th ed. New York, NY: McGraw-Hill, 2010.</w:t>
      </w:r>
    </w:p>
    <w:p>
      <w:pPr>
        <w:pStyle w:val="references"/>
        <w:ind w:start="18pt" w:hanging="18pt"/>
      </w:pPr>
      <w:r>
        <w:t xml:space="preserve">[10] D. Comer, Computer Networks and Internets, 6th ed. Boston, MA: Pearson, 2015.</w:t>
      </w:r>
    </w:p>
    <w:p>
      <w:pPr>
        <w:pStyle w:val="references"/>
        <w:ind w:start="18pt" w:hanging="18pt"/>
      </w:pPr>
      <w:r>
        <w:t xml:space="preserve">[11] B. Burns, Designing Distributed Systems: Patterns and Paradigms for Scalable, Reliable Services. Sebastopol, CA: O’Reilly Media, 2018.</w:t>
      </w:r>
    </w:p>
    <w:p>
      <w:pPr>
        <w:pStyle w:val="references"/>
        <w:ind w:start="18pt" w:hanging="18pt"/>
      </w:pPr>
      <w:r>
        <w:t xml:space="preserve">[12] L. Richardson and S. Ruby, RESTful Web Services. Sebastopol, CA: O’Reilly Media, 2007.</w:t>
      </w:r>
    </w:p>
    <w:p>
      <w:pPr>
        <w:pStyle w:val="references"/>
        <w:ind w:start="18pt" w:hanging="18pt"/>
      </w:pPr>
      <w:r>
        <w:t xml:space="preserve">[13] R. T. Fielding, “Architectural styles and the design of network-based software architectures,” Ph.D. dissertation, Univ. of California, Irvine, 2000.</w:t>
      </w:r>
    </w:p>
    <w:p>
      <w:pPr>
        <w:pStyle w:val="references"/>
        <w:ind w:start="18pt" w:hanging="18pt"/>
      </w:pPr>
      <w:r>
        <w:t xml:space="preserve">[14] T. Bray, “The JavaScript Object Notation (JSON) Data Interchange Format,” RFC 8259, 2017.</w:t>
      </w:r>
    </w:p>
    <w:p>
      <w:pPr>
        <w:pStyle w:val="references"/>
        <w:ind w:start="18pt" w:hanging="18pt"/>
      </w:pPr>
      <w:r>
        <w:t xml:space="preserve">[15] C. Pautasso, O. Zimmermann, and F. Leymann, “Restful web services vs. big web services: making the right architectural decision,” in Proc. 17th Int. Conf. World Wide Web, 2008, pp. 805-814.</w:t>
      </w:r>
    </w:p>
    <w:p>
      <w:pPr>
        <w:pStyle w:val="references"/>
        <w:ind w:start="18pt" w:hanging="18pt"/>
      </w:pPr>
      <w:r>
        <w:t xml:space="preserve">[16] Microsoft, “SQL Server Documentation,” Microsoft Learn. [Online]. Available: https://learn.microsoft.com/en-us/sql/sql-server/</w:t>
      </w:r>
    </w:p>
    <w:p>
      <w:pPr>
        <w:pStyle w:val="references"/>
        <w:ind w:start="18pt" w:hanging="18pt"/>
      </w:pPr>
      <w:r>
        <w:t xml:space="preserve">[17] J. Gray and A. Reuter, Transaction Processing: Concepts and Techniques. San Mateo, CA: Morgan Kaufmann, 1993.</w:t>
      </w:r>
    </w:p>
    <w:p>
      <w:pPr>
        <w:pStyle w:val="references"/>
        <w:ind w:start="18pt" w:hanging="18pt"/>
      </w:pPr>
      <w:r>
        <w:t xml:space="preserve">[18] P. Bailis et al., “Highly available transactions: Virtues and limitations,” Proc. VLDB Endowment, vol. 7, no. 3, pp. 181-192, 2013.</w:t>
      </w:r>
    </w:p>
    <w:p>
      <w:pPr>
        <w:pStyle w:val="references"/>
        <w:ind w:start="18pt" w:hanging="18pt"/>
      </w:pPr>
      <w:r>
        <w:t xml:space="preserve">[19] Google for Developers, “Gemini API Overview and System Architecture,” Google, 2026. [Online]. Available: https://ai.google.dev/docs</w:t>
      </w:r>
    </w:p>
    <w:p>
      <w:pPr>
        <w:pStyle w:val="references"/>
        <w:ind w:start="18pt" w:hanging="18pt"/>
      </w:pPr>
      <w:r>
        <w:t xml:space="preserve">[20] M. Nygard, Release It!: Design and Deploy Production-Ready Software. Raleigh, NC: Pragmatic Bookshelf, 2018.</w:t>
      </w:r>
    </w:p>
    <w:p>
      <w:pPr>
        <w:sectPr>
          <w:type w:val="continuous"/>
          <w:pgSz w:w="612pt" w:h="792pt" w:code="1"/>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