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Personalized Learning Path Generation for Students</w:t>
      </w:r>
    </w:p>
    <w:p>
      <w:pPr>
        <w:pStyle w:val="Author"/>
        <w:spacing w:before="5pt" w:beforeAutospacing="1" w:after="5pt" w:afterAutospacing="1"/>
        <w:sectPr w:rsidSect="001A3B3D">
          <w:pgSz w:w="612pt" w:h="792pt" w:code="1"/>
          <w:pgMar w:top="54pt" w:right="44.65pt" w:bottom="72pt" w:left="44.65pt" w:header="36pt" w:footer="36pt" w:gutter="0pt"/>
          <w:cols w:space="36pt"/>
          <w:docGrid w:linePitch="360"/>
        </w:sectPr>
      </w:pPr>
    </w:p>
    <w:p>
      <w:pPr>
        <w:pStyle w:val="Author"/>
        <w:spacing w:before="5pt" w:beforeAutospacing="1"/>
        <w:sectPr w:rsidSect="00F847A6">
          <w:type w:val="continuous"/>
          <w:pgSz w:w="612pt" w:h="792pt" w:code="1"/>
          <w:pgMar w:top="54pt" w:right="44.65pt" w:bottom="72pt" w:left="44.65pt" w:header="36pt" w:footer="36pt" w:gutter="0pt"/>
          <w:cols w:num="2" w:space="10.80pt"/>
          <w:docGrid w:linePitch="360"/>
        </w:sectPr>
      </w:pPr>
      <w:r>
        <w:rPr>
          <w:sz w:val="18"/>
          <w:szCs w:val="18"/>
        </w:rPr>
        <w:t>Ahmet Yimenicioğlu</w:t>
      </w:r>
      <w:r>
        <w:rPr>
          <w:sz w:val="18"/>
          <w:szCs w:val="18"/>
        </w:rPr>
        <w:br/>
        <w:t>Department of Computer Engineering</w:t>
      </w:r>
      <w:r>
        <w:rPr>
          <w:sz w:val="18"/>
          <w:szCs w:val="18"/>
        </w:rPr>
        <w:br/>
        <w:t>Kastamonu University</w:t>
      </w:r>
      <w:r>
        <w:rPr>
          <w:sz w:val="18"/>
          <w:szCs w:val="18"/>
        </w:rPr>
        <w:br/>
        <w:t>Kastamonu, Turkey</w:t>
      </w:r>
    </w:p>
    <w:p>
      <w:pPr>
        <w:pStyle w:val="Abstract"/>
        <w:sectPr w:rsidSect="00F847A6">
          <w:type w:val="continuous"/>
          <w:pgSz w:w="612pt" w:h="792pt" w:code="1"/>
          <w:pgMar w:top="54pt" w:right="44.65pt" w:bottom="72pt" w:left="44.65pt" w:header="36pt" w:footer="36pt" w:gutter="0pt"/>
          <w:cols w:space="36pt"/>
          <w:docGrid w:linePitch="360"/>
        </w:sectPr>
      </w:pPr>
      <w:r>
        <w:rPr>
          <w:i/>
          <w:iCs/>
        </w:rPr>
        <w:t>Abstract</w:t>
      </w:r>
      <w:r>
        <w:t>—</w:t>
      </w:r>
      <w:r>
        <w:t xml:space="preserve"> This study presents an AI-assisted automation architecture designed to address the study planning difficulties encountered in engineering education. A web interface, MS SQL database, n8n workflow manager, and Gemini model were integrated to create an autonomously operating system prototype. End-to-end testing of the architecture revealed a high degree of compatibility among its components. In particular, momentary interruptions experienced during external API calls were tolerated by an automatic retry mechanism incorporated into the system, thereby preventing service failures. The measurements conducted demonstrate that this microservice-based architecture offers a highly efficient alternative for educational planning.</w:t>
      </w:r>
    </w:p>
    <w:p>
      <w:pPr>
        <w:pStyle w:val="Keywords"/>
      </w:pPr>
      <w:r>
        <w:rPr>
          <w:i/>
          <w:iCs/>
        </w:rPr>
        <w:t>Keywords</w:t>
      </w:r>
      <w:r>
        <w:t xml:space="preserve">—n8n workflows, data management, MS SQL Server, AI integration, error handling.</w:t>
      </w:r>
    </w:p>
    <w:p>
      <w:pPr>
        <w:pStyle w:val="Heading1"/>
      </w:pPr>
      <w:r>
        <w:t>I. INTRODUCTION</w:t>
      </w:r>
    </w:p>
    <w:p>
      <w:pPr>
        <w:pStyle w:val="BodyText"/>
      </w:pPr>
      <w:r>
        <w:t xml:space="preserve">Creating daily study schedules aligned with individual goals is a considerably complex and time-consuming challenge for students in engineering education. The overwhelming accumulation of information in digital environments further complicates this process. The rapid advancement of Large Language Models (LLMs) in recent years offers a powerful infrastructure to overcome such planning bottlenecks [1], [2]. Comprehensive educational curricula can be generated within seconds from limited user input [3], [4]. This project presents an integrated system that fully automates the process, generating a structured three-week study plan directly from a user-provided goal.</w:t>
      </w:r>
    </w:p>
    <w:p>
      <w:pPr>
        <w:pStyle w:val="BodyText"/>
      </w:pPr>
      <w:r>
        <w:t xml:space="preserve">The n8n platform serves as the central orchestration layer of the architecture. Adhering to Service-Oriented Architecture (SOA) standards [5], [6], inter-component communication was established through Webhook triggers [7]. A SQL-based relational database was incorporated to ensure data persistence [8], [9]. Consolidating independent layers—including the user interface, database, and generative AI—into a single workflow represented the most critical phase of the development process [10]. This integration challenge was overcome through the flexible modular design offered by the n8n platform.</w:t>
      </w:r>
    </w:p>
    <w:p>
      <w:pPr>
        <w:pStyle w:val="Heading1"/>
      </w:pPr>
      <w:r>
        <w:t>II. SYSTEM DESIGN</w:t>
      </w:r>
    </w:p>
    <w:p>
      <w:pPr>
        <w:pStyle w:val="BodyText"/>
      </w:pPr>
      <w:r>
        <w:t xml:space="preserve">During the construction of this architecture, the system was divided into three core components: the user interface, the n8n middleware layer responsible for business logic, and the data storage layer [11]. The chosen design is essentially a scaled implementation of the standard approaches found in modern distributed system architectures [12], [13].</w:t>
      </w:r>
    </w:p>
    <w:p>
      <w:pPr>
        <w:pStyle w:val="Heading2"/>
      </w:pPr>
      <w:r>
        <w:t>A. Client Side and Webhook Integration</w:t>
      </w:r>
    </w:p>
    <w:p>
      <w:pPr>
        <w:pStyle w:val="BodyText"/>
      </w:pPr>
      <w:r>
        <w:t xml:space="preserve">The interface was developed using basic HTML and JavaScript with a focus on maximum accessibility. The student’s name and goal entered into the form are packaged in JSON format and posted to the Webhook endpoint hosted on n8n [14]. The complex processes running in the background are completely hidden from the user; the generated study plan is displayed on screen within seconds. The communication design is based on the asynchronous data transfer principles inherent in RESTful architecture [15].</w:t>
      </w:r>
    </w:p>
    <w:p>
      <w:pPr>
        <w:pStyle w:val="Heading2"/>
      </w:pPr>
      <w:r>
        <w:t>B. Database Architecture</w:t>
      </w:r>
    </w:p>
    <w:p>
      <w:pPr>
        <w:pStyle w:val="BodyText"/>
      </w:pPr>
      <w:r>
        <w:t xml:space="preserve">Microsoft SQL Server was selected as the infrastructure for managing system records [16]. Every form request received through the Webhook is immediately written to the database with a “Pending” status [17]. Although inserting this database step—rather than forwarding requests directly to the AI—may appear to be an additional overhead from the outside, it is of critical importance in failure scenarios: the state of any interrupted operation can only be determined by inspecting these status records [18].</w:t>
      </w:r>
    </w:p>
    <w:p>
      <w:pPr>
        <w:pStyle w:val="Heading2"/>
      </w:pPr>
      <w:r>
        <w:t>C. AI Integration and Workflow (n8n)</w:t>
      </w:r>
    </w:p>
    <w:p>
      <w:pPr>
        <w:pStyle w:val="BodyText"/>
      </w:pPr>
      <w:r>
        <w:t xml:space="preserve">Three critical decision points are defined within the n8n orchestration layer:</w:t>
      </w:r>
    </w:p>
    <w:p>
      <w:pPr>
        <w:pStyle w:val="BodyText"/>
      </w:pPr>
      <w:r>
        <w:rPr>
          <w:b/>
        </w:rPr>
        <w:t xml:space="preserve">AI Agent Node: </w:t>
      </w:r>
      <w:r>
        <w:t xml:space="preserve">Requests arriving in the database are forwarded to the Google Gemini model for content generation. Following comparative testing, the gemini-2.5-flash version was selected based on its processing speed and ability to analyze long texts [19].</w:t>
      </w:r>
    </w:p>
    <w:p>
      <w:pPr>
        <w:pStyle w:val="BodyText"/>
      </w:pPr>
      <w:r>
        <w:rPr>
          <w:b/>
        </w:rPr>
        <w:t xml:space="preserve">Fault Tolerance: </w:t>
      </w:r>
      <w:r>
        <w:t xml:space="preserve">Periodic 503 errors originating from the Gemini API endpoint were detected during testing. To prevent the system from locking up and crashing at such moments, an automatic retry feature [20] was added to the AI node. Failed requests are not cancelled; instead, they are delayed by 2 seconds and retried up to 5 times. This minor intervention largely eliminated crash risks arising from external service failures.</w:t>
      </w:r>
    </w:p>
    <w:p>
      <w:pPr>
        <w:pStyle w:val="BodyText"/>
      </w:pPr>
      <w:r>
        <w:rPr>
          <w:b/>
        </w:rPr>
        <w:t xml:space="preserve">Response Delivery: </w:t>
      </w:r>
      <w:r>
        <w:t xml:space="preserve">The texts generated by the language model—structured as “Week 1”, “Week 2”, and so on—are wrapped in a JSON package and returned directly to the web interface.</w:t>
      </w:r>
    </w:p>
    <w:p>
      <w:pPr>
        <w:pStyle w:val="Heading1"/>
      </w:pPr>
      <w:r>
        <w:t>III. RESULTS AND DISCUSSION</w:t>
      </w:r>
    </w:p>
    <w:p>
      <w:pPr>
        <w:pStyle w:val="BodyText"/>
      </w:pPr>
      <w:r>
        <w:t xml:space="preserve">The response times recorded during live environment testing of the system were frankly well above expectations. Although the combined steps of writing client data to SQL, forwarding it through n8n to Gemini, and receiving the response would normally be expected to take considerable time, the entire cycle was completed within 3 to 5 seconds.</w:t>
      </w:r>
    </w:p>
    <w:p>
      <w:pPr>
        <w:pStyle w:val="BodyText"/>
      </w:pPr>
      <w:r>
        <w:t xml:space="preserve">Despite this, certain difficulties were encountered during the development phase. In particular, correctly parsing the lengthy text returned by the language model into properly structured headings on the web page proved problematic. This parsing error was resolved by defining strict formatting rules directly within the prompt, specifying the exact output format required. Additionally, MS SQL Server credentials were isolated within the n8n environment to prevent exposure, thereby avoiding potential security vulnerabilities caused by oversight.</w:t>
      </w:r>
    </w:p>
    <w:p>
      <w:pPr>
        <w:pStyle w:val="Heading1"/>
      </w:pPr>
      <w:r>
        <w:t>IV. CONCLUSION AND FUTURE WORK</w:t>
      </w:r>
    </w:p>
    <w:p>
      <w:pPr>
        <w:pStyle w:val="BodyText"/>
      </w:pPr>
      <w:r>
        <w:t xml:space="preserve">This study demonstrated the potential of integrating an AI API with basic web technologies and a database to produce genuinely useful educational tools. Successfully deploying a fully functional automation system from scratch within a matter of weeks proved to be a highly rewarding engineering experience.</w:t>
      </w:r>
    </w:p>
    <w:p>
      <w:pPr>
        <w:pStyle w:val="BodyText"/>
      </w:pPr>
      <w:r>
        <w:t xml:space="preserve">Two constraints remain to be addressed in future versions of the system. The first concerns access security: without a JWT-based authentication mechanism on the Webhook endpoint, it remains possible for external parties to submit unauthorized requests. The second is the concurrent load problem. When hundreds of students access the system simultaneously, the current architecture will become congested; integrating a message queue into the project is therefore essential to prevent this scenario.</w:t>
      </w:r>
    </w:p>
    <w:p>
      <w:pPr>
        <w:pStyle w:val="Heading1"/>
      </w:pPr>
      <w:r>
        <w:t>REFERENCES</w:t>
      </w:r>
    </w:p>
    <w:p>
      <w:pPr>
        <w:pStyle w:val="references"/>
        <w:ind w:start="18pt" w:hanging="18pt"/>
      </w:pPr>
      <w:r>
        <w:t xml:space="preserve">[1] T. Brown et al., “Language models are few-shot learners,” Advances in Neural Information Processing Systems, vol. 33, pp. 1877-1901, 2020.</w:t>
      </w:r>
    </w:p>
    <w:p>
      <w:pPr>
        <w:pStyle w:val="references"/>
        <w:ind w:start="18pt" w:hanging="18pt"/>
      </w:pPr>
      <w:r>
        <w:t xml:space="preserve">[2] A. Vaswani et al., “Attention is all you need,” Advances in Neural Information Processing Systems, vol. 30, pp. 5998-6008, 2017.</w:t>
      </w:r>
    </w:p>
    <w:p>
      <w:pPr>
        <w:pStyle w:val="references"/>
        <w:ind w:start="18pt" w:hanging="18pt"/>
      </w:pPr>
      <w:r>
        <w:t xml:space="preserve">[3] J. Devlin, M. W-Chang, K. Lee, and K. Toutanova, “BERT: Pre-training of deep bidirectional transformers for language understanding,” arXiv preprint arXiv:1810.04805, 2018.</w:t>
      </w:r>
    </w:p>
    <w:p>
      <w:pPr>
        <w:pStyle w:val="references"/>
        <w:ind w:start="18pt" w:hanging="18pt"/>
      </w:pPr>
      <w:r>
        <w:t xml:space="preserve">[4] S. Bubeck et al., “Sparks of artificial general intelligence: Early experiments with GPT-4,” arXiv preprint arXiv:2303.12712, 2023.</w:t>
      </w:r>
    </w:p>
    <w:p>
      <w:pPr>
        <w:pStyle w:val="references"/>
        <w:ind w:start="18pt" w:hanging="18pt"/>
      </w:pPr>
      <w:r>
        <w:t xml:space="preserve">[5] T. Erl, Service-Oriented Architecture: Concepts, Technology, and Design. Upper Saddle River, NJ: Prentice Hall, 2005.</w:t>
      </w:r>
    </w:p>
    <w:p>
      <w:pPr>
        <w:pStyle w:val="references"/>
        <w:ind w:start="18pt" w:hanging="18pt"/>
      </w:pPr>
      <w:r>
        <w:t xml:space="preserve">[6] M. Fowler and J. Lewis, “Microservices,” ThoughtWorks, 2014. [Online]. Available: https://martinfowler.com/articles/microservices.html.</w:t>
      </w:r>
    </w:p>
    <w:p>
      <w:pPr>
        <w:pStyle w:val="references"/>
        <w:ind w:start="18pt" w:hanging="18pt"/>
      </w:pPr>
      <w:r>
        <w:t xml:space="preserve">[7] N. Dragoni et al., “Microservices: yesterday, today, and tomorrow,” in Present and Ulterior Software Engineering, Cham: Springer, 2017, pp. 195-216.</w:t>
      </w:r>
    </w:p>
    <w:p>
      <w:pPr>
        <w:pStyle w:val="references"/>
        <w:ind w:start="18pt" w:hanging="18pt"/>
      </w:pPr>
      <w:r>
        <w:t xml:space="preserve">[8] R. Elmasri and S. B. Navathe, Fundamentals of Database Systems, 7th ed. Hoboken, NJ: Pearson, 2015.</w:t>
      </w:r>
    </w:p>
    <w:p>
      <w:pPr>
        <w:pStyle w:val="references"/>
        <w:ind w:start="18pt" w:hanging="18pt"/>
      </w:pPr>
      <w:r>
        <w:t xml:space="preserve">[9] A. Silberschatz, H. F. Korth, and S. Sudarshan, Database System Concepts, 6th ed. New York, NY: McGraw-Hill, 2010.</w:t>
      </w:r>
    </w:p>
    <w:p>
      <w:pPr>
        <w:pStyle w:val="references"/>
        <w:ind w:start="18pt" w:hanging="18pt"/>
      </w:pPr>
      <w:r>
        <w:t xml:space="preserve">[10] D. Comer, Computer Networks and Internets, 6th ed. Boston, MA: Pearson, 2015.</w:t>
      </w:r>
    </w:p>
    <w:p>
      <w:pPr>
        <w:pStyle w:val="references"/>
        <w:ind w:start="18pt" w:hanging="18pt"/>
      </w:pPr>
      <w:r>
        <w:t xml:space="preserve">[11] B. Burns, Designing Distributed Systems: Patterns and Paradigms for Scalable, Reliable Services. Sebastopol, CA: O’Reilly Media, 2018.</w:t>
      </w:r>
    </w:p>
    <w:p>
      <w:pPr>
        <w:pStyle w:val="references"/>
        <w:ind w:start="18pt" w:hanging="18pt"/>
      </w:pPr>
      <w:r>
        <w:t xml:space="preserve">[12] L. Richardson and S. Ruby, RESTful Web Services. Sebastopol, CA: O’Reilly Media, 2007.</w:t>
      </w:r>
    </w:p>
    <w:p>
      <w:pPr>
        <w:pStyle w:val="references"/>
        <w:ind w:start="18pt" w:hanging="18pt"/>
      </w:pPr>
      <w:r>
        <w:t xml:space="preserve">[13] R. T. Fielding, “Architectural styles and the design of network-based software architectures,” Ph.D. dissertation, Univ. of California, Irvine, 2000.</w:t>
      </w:r>
    </w:p>
    <w:p>
      <w:pPr>
        <w:pStyle w:val="references"/>
        <w:ind w:start="18pt" w:hanging="18pt"/>
      </w:pPr>
      <w:r>
        <w:t xml:space="preserve">[14] T. Bray, “The JavaScript Object Notation (JSON) Data Interchange Format,” RFC 8259, 2017.</w:t>
      </w:r>
    </w:p>
    <w:p>
      <w:pPr>
        <w:pStyle w:val="references"/>
        <w:ind w:start="18pt" w:hanging="18pt"/>
      </w:pPr>
      <w:r>
        <w:t xml:space="preserve">[15] C. Pautasso, O. Zimmermann, and F. Leymann, “Restful web services vs. big web services: making the right architectural decision,” in Proc. 17th Int. Conf. World Wide Web, 2008, pp. 805-814.</w:t>
      </w:r>
    </w:p>
    <w:p>
      <w:pPr>
        <w:pStyle w:val="references"/>
        <w:ind w:start="18pt" w:hanging="18pt"/>
      </w:pPr>
      <w:r>
        <w:t xml:space="preserve">[16] Microsoft, “SQL Server Documentation,” Microsoft Learn. [Online]. Available: https://learn.microsoft.com/en-us/sql/sql-server/</w:t>
      </w:r>
    </w:p>
    <w:p>
      <w:pPr>
        <w:pStyle w:val="references"/>
        <w:ind w:start="18pt" w:hanging="18pt"/>
      </w:pPr>
      <w:r>
        <w:t xml:space="preserve">[17] J. Gray and A. Reuter, Transaction Processing: Concepts and Techniques. San Mateo, CA: Morgan Kaufmann, 1993.</w:t>
      </w:r>
    </w:p>
    <w:p>
      <w:pPr>
        <w:pStyle w:val="references"/>
        <w:ind w:start="18pt" w:hanging="18pt"/>
      </w:pPr>
      <w:r>
        <w:t xml:space="preserve">[18] P. Bailis et al., “Highly available transactions: Virtues and limitations,” Proc. VLDB Endowment, vol. 7, no. 3, pp. 181-192, 2013.</w:t>
      </w:r>
    </w:p>
    <w:p>
      <w:pPr>
        <w:pStyle w:val="references"/>
        <w:ind w:start="18pt" w:hanging="18pt"/>
      </w:pPr>
      <w:r>
        <w:t xml:space="preserve">[19] Google for Developers, “Gemini API Overview and System Architecture,” Google, 2026. [Online]. Available: https://ai.google.dev/docs</w:t>
      </w:r>
    </w:p>
    <w:p>
      <w:pPr>
        <w:pStyle w:val="references"/>
        <w:ind w:start="18pt" w:hanging="18pt"/>
      </w:pPr>
      <w:r>
        <w:t xml:space="preserve">[20] M. Nygard, Release It!: Design and Deploy Production-Ready Software. Raleigh, NC: Pragmatic Bookshelf, 2018.</w:t>
      </w:r>
    </w:p>
    <w:p>
      <w:pPr>
        <w:sectPr>
          <w:type w:val="continuous"/>
          <w:pgSz w:w="612pt" w:h="792pt" w:code="1"/>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