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Gövde"/>
        <w:rPr>
          <w:rFonts w:ascii="Helvetica" w:cs="Helvetica" w:hAnsi="Helvetica" w:eastAsia="Helvetica"/>
          <w:sz w:val="24"/>
          <w:szCs w:val="24"/>
        </w:rPr>
      </w:pPr>
      <w:r>
        <w:rPr>
          <w:rFonts w:ascii="Helvetica" w:hAnsi="Helvetica"/>
          <w:sz w:val="24"/>
          <w:szCs w:val="24"/>
          <w:rtl w:val="0"/>
        </w:rPr>
        <w:t>2300005633</w:t>
      </w:r>
    </w:p>
    <w:p>
      <w:pPr>
        <w:pStyle w:val="Gövde"/>
        <w:rPr>
          <w:rFonts w:ascii="Helvetica" w:cs="Helvetica" w:hAnsi="Helvetica" w:eastAsia="Helvetica"/>
          <w:sz w:val="24"/>
          <w:szCs w:val="24"/>
        </w:rPr>
      </w:pPr>
      <w:r>
        <w:rPr>
          <w:rFonts w:ascii="Helvetica" w:hAnsi="Helvetica"/>
          <w:sz w:val="24"/>
          <w:szCs w:val="24"/>
          <w:rtl w:val="0"/>
        </w:rPr>
        <w:t>Ahmet Deniz Sezgin</w:t>
      </w:r>
    </w:p>
    <w:p>
      <w:pPr>
        <w:pStyle w:val="Gövde"/>
        <w:rPr>
          <w:rFonts w:ascii="Helvetica" w:cs="Helvetica" w:hAnsi="Helvetica" w:eastAsia="Helvetica"/>
          <w:sz w:val="24"/>
          <w:szCs w:val="24"/>
        </w:rPr>
      </w:pPr>
      <w:r>
        <w:rPr>
          <w:rFonts w:ascii="Helvetica" w:hAnsi="Helvetica"/>
          <w:sz w:val="24"/>
          <w:szCs w:val="24"/>
          <w:rtl w:val="0"/>
          <w:lang w:val="fr-FR"/>
        </w:rPr>
        <w:t>Report 3</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52"/>
          <w:szCs w:val="52"/>
        </w:rPr>
      </w:pPr>
      <w:r>
        <w:rPr>
          <w:rFonts w:ascii="Helvetica" w:hAnsi="Helvetica"/>
          <w:b w:val="1"/>
          <w:bCs w:val="1"/>
          <w:sz w:val="52"/>
          <w:szCs w:val="52"/>
          <w:rtl w:val="0"/>
          <w:lang w:val="fr-FR"/>
        </w:rPr>
        <w:t>1. Introduction</w:t>
      </w:r>
    </w:p>
    <w:p>
      <w:pPr>
        <w:pStyle w:val="Gövde"/>
        <w:rPr>
          <w:rFonts w:ascii="Helvetica" w:cs="Helvetica" w:hAnsi="Helvetica" w:eastAsia="Helvetica"/>
          <w:sz w:val="24"/>
          <w:szCs w:val="24"/>
        </w:rPr>
      </w:pPr>
      <w:r>
        <w:rPr>
          <w:rFonts w:ascii="Helvetica" w:hAnsi="Helvetica"/>
          <w:sz w:val="24"/>
          <w:szCs w:val="24"/>
          <w:rtl w:val="0"/>
          <w:lang w:val="en-US"/>
        </w:rPr>
        <w:t>This report presents the development of a client-side monitoring module for the exam system. The purpose of the module is to detect the active window and the running processes during an exam session and to produce structured output that can be transmitted to the server without additional manual processing.</w:t>
      </w:r>
    </w:p>
    <w:p>
      <w:pPr>
        <w:pStyle w:val="Gövde"/>
        <w:rPr>
          <w:rFonts w:ascii="Helvetica" w:cs="Helvetica" w:hAnsi="Helvetica" w:eastAsia="Helvetica"/>
          <w:sz w:val="24"/>
          <w:szCs w:val="24"/>
        </w:rPr>
      </w:pPr>
      <w:r>
        <w:rPr>
          <w:rFonts w:ascii="Helvetica" w:hAnsi="Helvetica"/>
          <w:sz w:val="24"/>
          <w:szCs w:val="24"/>
          <w:rtl w:val="0"/>
          <w:lang w:val="en-US"/>
        </w:rPr>
        <w:t>The implementation was integrated into the existing Python-based client so that monitoring starts automatically with the exam session and continues in the background. A major design goal was to keep the collected evidence lightweight, consistent, and immediately usable by the current communication layer, which is why the solution uses JSON and JSONL as its primary data structures.</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52"/>
          <w:szCs w:val="52"/>
        </w:rPr>
      </w:pPr>
      <w:r>
        <w:rPr>
          <w:rFonts w:ascii="Helvetica" w:hAnsi="Helvetica"/>
          <w:b w:val="1"/>
          <w:bCs w:val="1"/>
          <w:sz w:val="52"/>
          <w:szCs w:val="52"/>
          <w:rtl w:val="0"/>
          <w:lang w:val="en-US"/>
        </w:rPr>
        <w:t>2. System Overview</w:t>
      </w:r>
    </w:p>
    <w:p>
      <w:pPr>
        <w:pStyle w:val="Gövde"/>
        <w:rPr>
          <w:rFonts w:ascii="Helvetica" w:cs="Helvetica" w:hAnsi="Helvetica" w:eastAsia="Helvetica"/>
          <w:sz w:val="24"/>
          <w:szCs w:val="24"/>
        </w:rPr>
      </w:pPr>
      <w:r>
        <w:rPr>
          <w:rFonts w:ascii="Helvetica" w:hAnsi="Helvetica"/>
          <w:sz w:val="24"/>
          <w:szCs w:val="24"/>
          <w:rtl w:val="0"/>
          <w:lang w:val="en-US"/>
        </w:rPr>
        <w:t>The monitoring workflow is coordinated from the client websocket session in client/ws_client.py. When the student connects and the local session is initialized, the client creates a focused window monitor and a process monitor as background components. These modules collect runtime information, write it to session-specific files, and forward snapshots to the local incident engine for policy evaluation.</w:t>
      </w:r>
    </w:p>
    <w:p>
      <w:pPr>
        <w:pStyle w:val="Gövde"/>
        <w:rPr>
          <w:rFonts w:ascii="Helvetica" w:cs="Helvetica" w:hAnsi="Helvetica" w:eastAsia="Helvetica"/>
          <w:sz w:val="24"/>
          <w:szCs w:val="24"/>
        </w:rPr>
      </w:pPr>
      <w:r>
        <w:rPr>
          <w:rFonts w:ascii="Helvetica" w:hAnsi="Helvetica"/>
          <w:sz w:val="24"/>
          <w:szCs w:val="24"/>
          <w:rtl w:val="0"/>
          <w:lang w:val="en-US"/>
        </w:rPr>
        <w:t>The design clearly separates collection from transmission. The monitoring modules are responsible for observing local state and generating structured records, while the common protocol, event constructors, and upload helpers are responsible for delivering the same information to the server. This separation keeps the data model stable and allows the generated files to be reused for live reporting, evidence uploads, and submission bundles.</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52"/>
          <w:szCs w:val="52"/>
        </w:rPr>
      </w:pPr>
      <w:r>
        <w:rPr>
          <w:rFonts w:ascii="Helvetica" w:hAnsi="Helvetica"/>
          <w:b w:val="1"/>
          <w:bCs w:val="1"/>
          <w:sz w:val="52"/>
          <w:szCs w:val="52"/>
          <w:rtl w:val="0"/>
          <w:lang w:val="en-US"/>
        </w:rPr>
        <w:t>3. Active Window Detection Module</w:t>
      </w:r>
    </w:p>
    <w:p>
      <w:pPr>
        <w:pStyle w:val="Gövde"/>
        <w:rPr>
          <w:rFonts w:ascii="Helvetica" w:cs="Helvetica" w:hAnsi="Helvetica" w:eastAsia="Helvetica"/>
          <w:sz w:val="24"/>
          <w:szCs w:val="24"/>
        </w:rPr>
      </w:pPr>
      <w:r>
        <w:rPr>
          <w:rFonts w:ascii="Helvetica" w:hAnsi="Helvetica"/>
          <w:sz w:val="24"/>
          <w:szCs w:val="24"/>
          <w:rtl w:val="0"/>
          <w:lang w:val="en-US"/>
        </w:rPr>
        <w:t>The active window detector is implemented in the focused window monitor module. On Windows systems it queries the current foreground window through the user32 interface and then enriches the result with process metadata obtained from psutil. Each snapshot can include the platform, availability flag, window handle, window title, window class, process identifier, process name, process path, and the source used to collect the data.</w:t>
      </w:r>
    </w:p>
    <w:p>
      <w:pPr>
        <w:pStyle w:val="Gövde"/>
        <w:rPr>
          <w:rFonts w:ascii="Helvetica" w:cs="Helvetica" w:hAnsi="Helvetica" w:eastAsia="Helvetica"/>
          <w:sz w:val="24"/>
          <w:szCs w:val="24"/>
        </w:rPr>
      </w:pPr>
      <w:r>
        <w:rPr>
          <w:rFonts w:ascii="Helvetica" w:hAnsi="Helvetica"/>
          <w:sz w:val="24"/>
          <w:szCs w:val="24"/>
          <w:rtl w:val="0"/>
          <w:lang w:val="en-US"/>
        </w:rPr>
        <w:t>During the exam the module polls once per second and records an initial snapshot followed by change entries whenever the focused window changes. When immediate evidence is required, the same component can export a standalone JSON snapshot. If the platform is unsupported or the foreground window cannot be read, the monitor still returns a valid structured record with an explicit reason field, which keeps downstream handling predictable and safe.</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52"/>
          <w:szCs w:val="52"/>
        </w:rPr>
      </w:pPr>
      <w:r>
        <w:rPr>
          <w:rFonts w:ascii="Helvetica" w:hAnsi="Helvetica"/>
          <w:b w:val="1"/>
          <w:bCs w:val="1"/>
          <w:sz w:val="52"/>
          <w:szCs w:val="52"/>
          <w:rtl w:val="0"/>
          <w:lang w:val="en-US"/>
        </w:rPr>
        <w:t>4. Running Process Detection Module</w:t>
      </w:r>
    </w:p>
    <w:p>
      <w:pPr>
        <w:pStyle w:val="Gövde"/>
        <w:rPr>
          <w:rFonts w:ascii="Helvetica" w:cs="Helvetica" w:hAnsi="Helvetica" w:eastAsia="Helvetica"/>
          <w:sz w:val="24"/>
          <w:szCs w:val="24"/>
        </w:rPr>
      </w:pPr>
      <w:r>
        <w:rPr>
          <w:rFonts w:ascii="Helvetica" w:hAnsi="Helvetica"/>
          <w:sz w:val="24"/>
          <w:szCs w:val="24"/>
          <w:rtl w:val="0"/>
          <w:lang w:val="en-US"/>
        </w:rPr>
        <w:t>The running process detector is implemented in the process monitor module. It primarily collects process information through psutil, and on macOS it can fall back to the ps command if needed. Each process is stored in a compact JSON-friendly representation as a pair that contains the process identifier and the process name.</w:t>
      </w:r>
    </w:p>
    <w:p>
      <w:pPr>
        <w:pStyle w:val="Gövde"/>
        <w:rPr>
          <w:rFonts w:ascii="Helvetica" w:cs="Helvetica" w:hAnsi="Helvetica" w:eastAsia="Helvetica"/>
          <w:sz w:val="24"/>
          <w:szCs w:val="24"/>
        </w:rPr>
      </w:pPr>
      <w:r>
        <w:rPr>
          <w:rFonts w:ascii="Helvetica" w:hAnsi="Helvetica"/>
          <w:sz w:val="24"/>
          <w:szCs w:val="24"/>
          <w:rtl w:val="0"/>
          <w:lang w:val="en-US"/>
        </w:rPr>
        <w:t>The module polls every fifteen seconds, writes incremental diff records for processes that were added or removed, and produces a full snapshot every two minutes. It can also generate an immediate requested report when the server asks for current process state or when an incident bundle must be assembled. This strategy keeps continuous monitoring efficient while still preserving complete evidence when a detailed report is required.</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52"/>
          <w:szCs w:val="52"/>
        </w:rPr>
      </w:pPr>
      <w:r>
        <w:rPr>
          <w:rFonts w:ascii="Helvetica" w:hAnsi="Helvetica"/>
          <w:b w:val="1"/>
          <w:bCs w:val="1"/>
          <w:sz w:val="52"/>
          <w:szCs w:val="52"/>
          <w:rtl w:val="0"/>
          <w:lang w:val="de-DE"/>
        </w:rPr>
        <w:t>5. JSON Output Structure</w:t>
      </w:r>
    </w:p>
    <w:p>
      <w:pPr>
        <w:pStyle w:val="Gövde"/>
        <w:rPr>
          <w:rFonts w:ascii="Helvetica" w:cs="Helvetica" w:hAnsi="Helvetica" w:eastAsia="Helvetica"/>
          <w:sz w:val="24"/>
          <w:szCs w:val="24"/>
        </w:rPr>
      </w:pPr>
      <w:r>
        <w:rPr>
          <w:rFonts w:ascii="Helvetica" w:hAnsi="Helvetica"/>
          <w:sz w:val="24"/>
          <w:szCs w:val="24"/>
          <w:rtl w:val="0"/>
          <w:lang w:val="en-US"/>
        </w:rPr>
        <w:t>JSON was selected as the common structure because it is simple, language-independent, and already used throughout the project protocol. The focused window log stores timestamped objects with a type field and a nested window object, while the process monitor stores timestamped objects containing the platform, remaining exam time, record type, and either a full processes array or incremental added and removed arrays.</w:t>
      </w:r>
    </w:p>
    <w:p>
      <w:pPr>
        <w:pStyle w:val="Gövde"/>
        <w:rPr>
          <w:rFonts w:ascii="Helvetica" w:cs="Helvetica" w:hAnsi="Helvetica" w:eastAsia="Helvetica"/>
          <w:sz w:val="24"/>
          <w:szCs w:val="24"/>
        </w:rPr>
      </w:pPr>
      <w:r>
        <w:rPr>
          <w:rFonts w:ascii="Helvetica" w:hAnsi="Helvetica"/>
          <w:sz w:val="24"/>
          <w:szCs w:val="24"/>
          <w:rtl w:val="0"/>
          <w:lang w:val="en-US"/>
        </w:rPr>
        <w:t>Continuous logs are written as JSONL files so that every line is a complete JSON object. This makes the output append-friendly during the exam and allows the same files to be parsed incrementally by streaming tools, archive builders, or later forensic analysis without any additional transformation step.</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52"/>
          <w:szCs w:val="52"/>
        </w:rPr>
      </w:pPr>
      <w:r>
        <w:rPr>
          <w:rFonts w:ascii="Helvetica" w:hAnsi="Helvetica"/>
          <w:b w:val="1"/>
          <w:bCs w:val="1"/>
          <w:sz w:val="52"/>
          <w:szCs w:val="52"/>
          <w:rtl w:val="0"/>
          <w:lang w:val="en-US"/>
        </w:rPr>
        <w:t>6. Compatibility With the Streaming Module</w:t>
      </w:r>
    </w:p>
    <w:p>
      <w:pPr>
        <w:pStyle w:val="Gövde"/>
        <w:rPr>
          <w:rFonts w:ascii="Helvetica" w:cs="Helvetica" w:hAnsi="Helvetica" w:eastAsia="Helvetica"/>
          <w:sz w:val="24"/>
          <w:szCs w:val="24"/>
        </w:rPr>
      </w:pPr>
      <w:r>
        <w:rPr>
          <w:rFonts w:ascii="Helvetica" w:hAnsi="Helvetica"/>
          <w:sz w:val="24"/>
          <w:szCs w:val="24"/>
          <w:rtl w:val="0"/>
          <w:lang w:val="en-US"/>
        </w:rPr>
        <w:t>The generated monitoring data is compatible with the existing streaming module because it relies only on standard JSON values such as objects, arrays, numbers, strings, and booleans. Timestamps are created with the shared protocol helper, and the client already wraps outgoing information with the common event envelope defined in the project communication layer.</w:t>
      </w:r>
    </w:p>
    <w:p>
      <w:pPr>
        <w:pStyle w:val="Gövde"/>
        <w:rPr>
          <w:rFonts w:ascii="Helvetica" w:cs="Helvetica" w:hAnsi="Helvetica" w:eastAsia="Helvetica"/>
          <w:sz w:val="24"/>
          <w:szCs w:val="24"/>
        </w:rPr>
      </w:pPr>
      <w:r>
        <w:rPr>
          <w:rFonts w:ascii="Helvetica" w:hAnsi="Helvetica"/>
          <w:sz w:val="24"/>
          <w:szCs w:val="24"/>
          <w:rtl w:val="0"/>
          <w:lang w:val="en-US"/>
        </w:rPr>
        <w:t>In practical terms, the monitoring output can be consumed locally, attached to incident reports, or uploaded as runtime artifacts without changing its structure. The websocket session already reacts to server requests for process evidence, and the same session can forward incident metadata that is derived from focused window and process snapshots.</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52"/>
          <w:szCs w:val="52"/>
        </w:rPr>
      </w:pPr>
      <w:r>
        <w:rPr>
          <w:rFonts w:ascii="Helvetica" w:hAnsi="Helvetica"/>
          <w:b w:val="1"/>
          <w:bCs w:val="1"/>
          <w:sz w:val="52"/>
          <w:szCs w:val="52"/>
          <w:rtl w:val="0"/>
          <w:lang w:val="en-US"/>
        </w:rPr>
        <w:t>7. Generated Files and Transfer Flow</w:t>
      </w:r>
    </w:p>
    <w:p>
      <w:pPr>
        <w:pStyle w:val="Gövde"/>
        <w:rPr>
          <w:rFonts w:ascii="Helvetica" w:cs="Helvetica" w:hAnsi="Helvetica" w:eastAsia="Helvetica"/>
          <w:sz w:val="24"/>
          <w:szCs w:val="24"/>
        </w:rPr>
      </w:pPr>
      <w:r>
        <w:rPr>
          <w:rFonts w:ascii="Helvetica" w:hAnsi="Helvetica"/>
          <w:sz w:val="24"/>
          <w:szCs w:val="24"/>
          <w:rtl w:val="0"/>
          <w:lang w:val="en-US"/>
        </w:rPr>
        <w:t>During execution the client stores continuous monitoring artifacts in files such as focused_window.jsonl and processes.jsonl under the current session directory. When a point-in-time snapshot is requested, the client creates JSON files such as focused_window_snapshot_&lt;timestamp&gt;.json and process_report_requested_&lt;timestamp&gt;.json. This keeps both continuous and on-demand evidence available throughout the exam.</w:t>
      </w:r>
    </w:p>
    <w:p>
      <w:pPr>
        <w:pStyle w:val="Gövde"/>
        <w:rPr>
          <w:rFonts w:ascii="Helvetica" w:cs="Helvetica" w:hAnsi="Helvetica" w:eastAsia="Helvetica"/>
          <w:sz w:val="24"/>
          <w:szCs w:val="24"/>
        </w:rPr>
      </w:pPr>
      <w:r>
        <w:rPr>
          <w:rFonts w:ascii="Helvetica" w:hAnsi="Helvetica"/>
          <w:sz w:val="24"/>
          <w:szCs w:val="24"/>
          <w:rtl w:val="0"/>
          <w:lang w:val="en-US"/>
        </w:rPr>
        <w:t>These files are ready to be transmitted to the server through the existing artifact upload and bundle creation flow. They can be attached to requested process uploads, incident evidence bundles, and final submission bundles, which ensures that the server receives the same structured monitoring data that was collected on the client machine during the exam.</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52"/>
          <w:szCs w:val="52"/>
        </w:rPr>
      </w:pPr>
      <w:r>
        <w:rPr>
          <w:rFonts w:ascii="Helvetica" w:hAnsi="Helvetica"/>
          <w:b w:val="1"/>
          <w:bCs w:val="1"/>
          <w:sz w:val="52"/>
          <w:szCs w:val="52"/>
          <w:rtl w:val="0"/>
          <w:lang w:val="it-IT"/>
        </w:rPr>
        <w:t>8. Conclusion</w:t>
      </w:r>
    </w:p>
    <w:p>
      <w:pPr>
        <w:pStyle w:val="Gövde"/>
        <w:rPr>
          <w:rFonts w:ascii="Helvetica" w:cs="Helvetica" w:hAnsi="Helvetica" w:eastAsia="Helvetica"/>
          <w:sz w:val="24"/>
          <w:szCs w:val="24"/>
        </w:rPr>
      </w:pPr>
      <w:r>
        <w:rPr>
          <w:rFonts w:ascii="Helvetica" w:hAnsi="Helvetica"/>
          <w:sz w:val="24"/>
          <w:szCs w:val="24"/>
          <w:rtl w:val="0"/>
          <w:lang w:val="en-US"/>
        </w:rPr>
        <w:t>The developed module satisfies the assignment goal by detecting both the active window and the running processes during the exam and by storing the results in a structured format. Because JSON and JSONL are used consistently across the monitoring and communication layers, the collected data is ready for reliable transmission, streaming, and archival.</w:t>
      </w:r>
    </w:p>
    <w:p>
      <w:pPr>
        <w:pStyle w:val="Gövde"/>
      </w:pPr>
      <w:r>
        <w:rPr>
          <w:rFonts w:ascii="Helvetica" w:hAnsi="Helvetica"/>
          <w:sz w:val="24"/>
          <w:szCs w:val="24"/>
          <w:rtl w:val="0"/>
          <w:lang w:val="en-US"/>
        </w:rPr>
        <w:t>Overall, the solution fits the current architecture of the exam system and extends it in a way that is modular, lightweight, and suitable for continuous monitoring during supervised assessments.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Gövde">
    <w:name w:val="Gövde"/>
    <w:next w:val="Gövd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