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b w:val="0"/>
          <w:sz w:val="20"/>
        </w:rPr>
        <w:t>The University of Lahore — Department of Computer Science &amp; IT</w:t>
      </w:r>
    </w:p>
    <w:p>
      <w:pPr>
        <w:spacing w:after="20"/>
        <w:jc w:val="center"/>
      </w:pPr>
      <w:r>
        <w:rPr>
          <w:b w:val="0"/>
          <w:sz w:val="20"/>
        </w:rPr>
        <w:t>CS-13410 Introduction to Machine Learning · Fall 2026 · BSCS</w:t>
      </w:r>
    </w:p>
    <w:p>
      <w:pPr>
        <w:spacing w:after="20"/>
        <w:jc w:val="center"/>
      </w:pPr>
      <w:r>
        <w:rPr>
          <w:b/>
          <w:sz w:val="26"/>
        </w:rPr>
        <w:t>Semester Project Proposal (Part 1): Predicting Customer Churn in Telecom</w:t>
      </w:r>
    </w:p>
    <w:p>
      <w:pPr>
        <w:spacing w:after="20"/>
        <w:jc w:val="center"/>
      </w:pPr>
      <w:r>
        <w:rPr>
          <w:b w:val="0"/>
          <w:sz w:val="19"/>
        </w:rPr>
        <w:t>Group members: Syed Ahmad Ali (70147064) · Umair Sajjid (70146750) · Jawad Raza (70146212)</w:t>
      </w:r>
    </w:p>
    <w:p>
      <w:pPr>
        <w:spacing w:before="120" w:after="40"/>
      </w:pPr>
      <w:r>
        <w:rPr>
          <w:b/>
          <w:sz w:val="23"/>
        </w:rPr>
        <w:t>1. Problem Statement</w:t>
      </w:r>
    </w:p>
    <w:p>
      <w:r>
        <w:t>Telecom companies lose a significant share of revenue when customers cancel their subscriptions (churn), and acquiring a new customer costs considerably more than retaining an existing one. This project builds a machine learning model that predicts, from a customer's account, service and billing information, whether that customer is likely to churn — so the company can target high-risk customers with retention offers before they leave.</w:t>
      </w:r>
    </w:p>
    <w:p>
      <w:pPr>
        <w:spacing w:before="120" w:after="40"/>
      </w:pPr>
      <w:r>
        <w:rPr>
          <w:b/>
          <w:sz w:val="23"/>
        </w:rPr>
        <w:t>2. Dataset</w:t>
      </w:r>
    </w:p>
    <w:p>
      <w:pPr>
        <w:pStyle w:val="ListBullet"/>
        <w:spacing w:after="20"/>
      </w:pPr>
      <w:r>
        <w:rPr>
          <w:b/>
        </w:rPr>
        <w:t xml:space="preserve">Source: </w:t>
      </w:r>
      <w:r>
        <w:t>IBM Telco Customer Churn sample dataset (public; also available on Kaggle as “Telco Customer Churn”). Fictional customers released by IBM for educational use, so there are no privacy or licensing concerns.</w:t>
      </w:r>
    </w:p>
    <w:p>
      <w:pPr>
        <w:pStyle w:val="ListBullet"/>
        <w:spacing w:after="20"/>
      </w:pPr>
      <w:r>
        <w:rPr>
          <w:b/>
        </w:rPr>
        <w:t xml:space="preserve">Size: </w:t>
      </w:r>
      <w:r>
        <w:t>7,043 rows (customers) × 21 columns — meets the ≥1,000-row requirement.</w:t>
      </w:r>
    </w:p>
    <w:p>
      <w:pPr>
        <w:pStyle w:val="ListBullet"/>
        <w:spacing w:after="20"/>
      </w:pPr>
      <w:r>
        <w:rPr>
          <w:b/>
        </w:rPr>
        <w:t xml:space="preserve">Feature mix: </w:t>
      </w:r>
      <w:r>
        <w:t>3 numeric (tenure, MonthlyCharges, TotalCharges), 1 binary numeric (SeniorCitizen) and 15 categorical features (contract type, internet service, payment method, add-on services, demographics) — meets the mixed-type requirement.</w:t>
      </w:r>
    </w:p>
    <w:p>
      <w:pPr>
        <w:pStyle w:val="ListBullet"/>
        <w:spacing w:after="20"/>
      </w:pPr>
      <w:r>
        <w:rPr>
          <w:b/>
        </w:rPr>
        <w:t xml:space="preserve">Data quality: </w:t>
      </w:r>
      <w:r>
        <w:t>11 missing TotalCharges values (new customers with zero tenure), no IQR outliers in raw numeric columns, and class imbalance (26.5% churn) — giving realistic preprocessing challenges.</w:t>
      </w:r>
    </w:p>
    <w:p>
      <w:pPr>
        <w:spacing w:before="120" w:after="40"/>
      </w:pPr>
      <w:r>
        <w:rPr>
          <w:b/>
          <w:sz w:val="23"/>
        </w:rPr>
        <w:t>3. Target Variable and Task</w:t>
      </w:r>
    </w:p>
    <w:p>
      <w:pPr>
        <w:pStyle w:val="ListBullet"/>
        <w:spacing w:after="20"/>
      </w:pPr>
      <w:r>
        <w:rPr>
          <w:b/>
        </w:rPr>
        <w:t xml:space="preserve">Target: </w:t>
      </w:r>
      <w:r>
        <w:t>Churn (Yes / No) — whether the customer left within the last month.</w:t>
      </w:r>
    </w:p>
    <w:p>
      <w:pPr>
        <w:pStyle w:val="ListBullet"/>
        <w:spacing w:after="20"/>
      </w:pPr>
      <w:r>
        <w:rPr>
          <w:b/>
        </w:rPr>
        <w:t xml:space="preserve">Task type: </w:t>
      </w:r>
      <w:r>
        <w:t>Supervised binary classification.</w:t>
      </w:r>
    </w:p>
    <w:p>
      <w:pPr>
        <w:pStyle w:val="ListBullet"/>
        <w:spacing w:after="20"/>
      </w:pPr>
      <w:r>
        <w:rPr>
          <w:b/>
        </w:rPr>
        <w:t xml:space="preserve">Success metrics: </w:t>
      </w:r>
      <w:r>
        <w:t>ROC-AUC (primary, threshold-independent) and F1 / recall of the churn class (secondary). Accuracy is not used as the main metric because a model predicting “No” for everyone already reaches ~73%.</w:t>
      </w:r>
    </w:p>
    <w:p>
      <w:pPr>
        <w:spacing w:before="120" w:after="40"/>
      </w:pPr>
      <w:r>
        <w:rPr>
          <w:b/>
          <w:sz w:val="23"/>
        </w:rPr>
        <w:t>4. Why This Dataset Is Suitable for the Full Project</w:t>
      </w:r>
    </w:p>
    <w:p>
      <w:pPr>
        <w:pStyle w:val="ListBullet"/>
        <w:spacing w:after="20"/>
      </w:pPr>
      <w:r>
        <w:rPr>
          <w:b/>
        </w:rPr>
        <w:t xml:space="preserve">Part 1: </w:t>
      </w:r>
      <w:r>
        <w:t>missing values, skewed numeric features, many nominal categories and class imbalance exercise a full leakage-free pipeline.</w:t>
      </w:r>
    </w:p>
    <w:p>
      <w:pPr>
        <w:pStyle w:val="ListBullet"/>
        <w:spacing w:after="20"/>
      </w:pPr>
      <w:r>
        <w:rPr>
          <w:b/>
        </w:rPr>
        <w:t xml:space="preserve">Part 2: </w:t>
      </w:r>
      <w:r>
        <w:t>categorical features suit Naive Bayes, and splits such as Contract = Month-to-month are easy to compute by hand for information gain/Gini.</w:t>
      </w:r>
    </w:p>
    <w:p>
      <w:pPr>
        <w:pStyle w:val="ListBullet"/>
        <w:spacing w:after="20"/>
      </w:pPr>
      <w:r>
        <w:rPr>
          <w:b/>
        </w:rPr>
        <w:t xml:space="preserve">Part 3: </w:t>
      </w:r>
      <w:r>
        <w:t>enough rows for ensembles (Random Forest, Gradient Boosting) and grid/random search with cross-validation.</w:t>
      </w:r>
    </w:p>
    <w:p>
      <w:pPr>
        <w:pStyle w:val="ListBullet"/>
        <w:spacing w:after="20"/>
      </w:pPr>
      <w:r>
        <w:rPr>
          <w:b/>
        </w:rPr>
        <w:t xml:space="preserve">Part 4: </w:t>
      </w:r>
      <w:r>
        <w:t>an MLP classifier for the neural-network component; k-means/PCA customer segmentation for the unsupervised component; gender and SeniorCitizen allow a fairness check across groups.</w:t>
      </w:r>
    </w:p>
    <w:p>
      <w:pPr>
        <w:spacing w:before="120" w:after="40"/>
      </w:pPr>
      <w:r>
        <w:rPr>
          <w:b/>
          <w:sz w:val="23"/>
        </w:rPr>
        <w:t>5. Plan for Part 1 (this submission)</w:t>
      </w:r>
    </w:p>
    <w:p>
      <w:r>
        <w:t>Stratified 80/20 train-test split before any analysis; EDA on the training set (six visualisations); feature construction (average charge per month, number of services, new-customer flag, charge-to-tenure ratio); and a scikit-learn Pipeline/ColumnTransformer with median/mode imputation, IQR outlier clipping, standard scaling, one-hot encoding and mutual-information feature selection — all fitted on training data only. Class imbalance is handled with stratification, class weights and imbalance-aware metrics. A 5-fold cross-validated logistic-regression sanity check reached ROC-AUC ≈ 0.85.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