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val="0"/>
          <w:sz w:val="20"/>
        </w:rPr>
        <w:t>CS-13410 Introduction to Machine Learning · Fall 2026 · Semester Project</w:t>
      </w:r>
    </w:p>
    <w:p>
      <w:pPr>
        <w:spacing w:after="20"/>
        <w:jc w:val="center"/>
      </w:pPr>
      <w:r>
        <w:rPr>
          <w:b/>
          <w:sz w:val="26"/>
        </w:rPr>
        <w:t>Part 2: Naive Bayes vs Decision Tree — Comparison Write-Up</w:t>
      </w:r>
    </w:p>
    <w:p>
      <w:pPr>
        <w:spacing w:after="20"/>
        <w:jc w:val="center"/>
      </w:pPr>
      <w:r>
        <w:rPr>
          <w:b w:val="0"/>
          <w:sz w:val="19"/>
        </w:rPr>
        <w:t>Syed Ahmad Ali (70147064) · Umair Sajjid (70146750) · Jawad Raza (70146212)</w:t>
      </w:r>
    </w:p>
    <w:p>
      <w:r>
        <w:t>Dataset: IBM Telco Customer Churn (5,634 training rows). Both models use the same leakage-free Part 1 preprocessing pipeline and are evaluated with stratified 5-fold cross-validation on the training set.</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sz w:val="19"/>
              </w:rPr>
              <w:t>Model</w:t>
            </w:r>
          </w:p>
        </w:tc>
        <w:tc>
          <w:tcPr>
            <w:tcW w:type="dxa" w:w="1662"/>
          </w:tcPr>
          <w:p>
            <w:r>
              <w:rPr>
                <w:b/>
                <w:sz w:val="19"/>
              </w:rPr>
              <w:t>ROC-AUC</w:t>
            </w:r>
          </w:p>
        </w:tc>
        <w:tc>
          <w:tcPr>
            <w:tcW w:type="dxa" w:w="1662"/>
          </w:tcPr>
          <w:p>
            <w:r>
              <w:rPr>
                <w:b/>
                <w:sz w:val="19"/>
              </w:rPr>
              <w:t>F1</w:t>
            </w:r>
          </w:p>
        </w:tc>
        <w:tc>
          <w:tcPr>
            <w:tcW w:type="dxa" w:w="1662"/>
          </w:tcPr>
          <w:p>
            <w:r>
              <w:rPr>
                <w:b/>
                <w:sz w:val="19"/>
              </w:rPr>
              <w:t>Recall</w:t>
            </w:r>
          </w:p>
        </w:tc>
        <w:tc>
          <w:tcPr>
            <w:tcW w:type="dxa" w:w="1662"/>
          </w:tcPr>
          <w:p>
            <w:r>
              <w:rPr>
                <w:b/>
                <w:sz w:val="19"/>
              </w:rPr>
              <w:t>Precision</w:t>
            </w:r>
          </w:p>
        </w:tc>
        <w:tc>
          <w:tcPr>
            <w:tcW w:type="dxa" w:w="1662"/>
          </w:tcPr>
          <w:p>
            <w:r>
              <w:rPr>
                <w:b/>
                <w:sz w:val="19"/>
              </w:rPr>
              <w:t>Accuracy</w:t>
            </w:r>
          </w:p>
        </w:tc>
      </w:tr>
      <w:tr>
        <w:tc>
          <w:tcPr>
            <w:tcW w:type="dxa" w:w="1662"/>
          </w:tcPr>
          <w:p>
            <w:r>
              <w:rPr>
                <w:b w:val="0"/>
                <w:sz w:val="19"/>
              </w:rPr>
              <w:t>Gaussian Naive Bayes</w:t>
            </w:r>
          </w:p>
        </w:tc>
        <w:tc>
          <w:tcPr>
            <w:tcW w:type="dxa" w:w="1662"/>
          </w:tcPr>
          <w:p>
            <w:r>
              <w:rPr>
                <w:b w:val="0"/>
                <w:sz w:val="19"/>
              </w:rPr>
              <w:t>0.825</w:t>
            </w:r>
          </w:p>
        </w:tc>
        <w:tc>
          <w:tcPr>
            <w:tcW w:type="dxa" w:w="1662"/>
          </w:tcPr>
          <w:p>
            <w:r>
              <w:rPr>
                <w:b w:val="0"/>
                <w:sz w:val="19"/>
              </w:rPr>
              <w:t>0.595</w:t>
            </w:r>
          </w:p>
        </w:tc>
        <w:tc>
          <w:tcPr>
            <w:tcW w:type="dxa" w:w="1662"/>
          </w:tcPr>
          <w:p>
            <w:r>
              <w:rPr>
                <w:b w:val="0"/>
                <w:sz w:val="19"/>
              </w:rPr>
              <w:t>0.853</w:t>
            </w:r>
          </w:p>
        </w:tc>
        <w:tc>
          <w:tcPr>
            <w:tcW w:type="dxa" w:w="1662"/>
          </w:tcPr>
          <w:p>
            <w:r>
              <w:rPr>
                <w:b w:val="0"/>
                <w:sz w:val="19"/>
              </w:rPr>
              <w:t>0.457</w:t>
            </w:r>
          </w:p>
        </w:tc>
        <w:tc>
          <w:tcPr>
            <w:tcW w:type="dxa" w:w="1662"/>
          </w:tcPr>
          <w:p>
            <w:r>
              <w:rPr>
                <w:b w:val="0"/>
                <w:sz w:val="19"/>
              </w:rPr>
              <w:t>0.692</w:t>
            </w:r>
          </w:p>
        </w:tc>
      </w:tr>
      <w:tr>
        <w:tc>
          <w:tcPr>
            <w:tcW w:type="dxa" w:w="1662"/>
          </w:tcPr>
          <w:p>
            <w:r>
              <w:rPr>
                <w:b w:val="0"/>
                <w:sz w:val="19"/>
              </w:rPr>
              <w:t>Decision Tree (depth 5)</w:t>
            </w:r>
          </w:p>
        </w:tc>
        <w:tc>
          <w:tcPr>
            <w:tcW w:type="dxa" w:w="1662"/>
          </w:tcPr>
          <w:p>
            <w:r>
              <w:rPr>
                <w:b w:val="0"/>
                <w:sz w:val="19"/>
              </w:rPr>
              <w:t>0.830</w:t>
            </w:r>
          </w:p>
        </w:tc>
        <w:tc>
          <w:tcPr>
            <w:tcW w:type="dxa" w:w="1662"/>
          </w:tcPr>
          <w:p>
            <w:r>
              <w:rPr>
                <w:b w:val="0"/>
                <w:sz w:val="19"/>
              </w:rPr>
              <w:t>0.612</w:t>
            </w:r>
          </w:p>
        </w:tc>
        <w:tc>
          <w:tcPr>
            <w:tcW w:type="dxa" w:w="1662"/>
          </w:tcPr>
          <w:p>
            <w:r>
              <w:rPr>
                <w:b w:val="0"/>
                <w:sz w:val="19"/>
              </w:rPr>
              <w:t>0.809</w:t>
            </w:r>
          </w:p>
        </w:tc>
        <w:tc>
          <w:tcPr>
            <w:tcW w:type="dxa" w:w="1662"/>
          </w:tcPr>
          <w:p>
            <w:r>
              <w:rPr>
                <w:b w:val="0"/>
                <w:sz w:val="19"/>
              </w:rPr>
              <w:t>0.493</w:t>
            </w:r>
          </w:p>
        </w:tc>
        <w:tc>
          <w:tcPr>
            <w:tcW w:type="dxa" w:w="1662"/>
          </w:tcPr>
          <w:p>
            <w:r>
              <w:rPr>
                <w:b w:val="0"/>
                <w:sz w:val="19"/>
              </w:rPr>
              <w:t>0.728</w:t>
            </w:r>
          </w:p>
        </w:tc>
      </w:tr>
    </w:tbl>
    <w:p>
      <w:pPr>
        <w:spacing w:before="100"/>
      </w:pPr>
      <w:r>
        <w:rPr>
          <w:b/>
        </w:rPr>
        <w:t xml:space="preserve">Which model is better? </w:t>
      </w:r>
      <w:r>
        <w:t>The decision tree is better overall, but only slightly. It has a higher ROC-AUC and F1, plus better precision and accuracy. The ROC-AUC gap is within one standard deviation, so the two models rank customers about equally well. The real difference is the type of error each makes. Naive Bayes catches slightly more churners (recall 0.85 vs 0.81) but raises many more false alarms (precision 0.46 vs 0.49), so more retention offers would go to customers who were never going to leave.</w:t>
      </w:r>
    </w:p>
    <w:p>
      <w:pPr>
        <w:spacing w:before="100"/>
      </w:pPr>
      <w:r>
        <w:rPr>
          <w:b/>
        </w:rPr>
        <w:t xml:space="preserve">Why? </w:t>
      </w:r>
      <w:r>
        <w:t>(1) Naive Bayes assumes features are independent, but ours are strongly correlated (MonthlyCharges vs AvgChargePerMonth r = 0.99; tenure vs TotalCharges r = 0.83). It counts the same evidence twice and becomes overconfident. (2) Gaussian NB assumes bell-shaped features, while tenure and charges are skewed and the one-hot columns are 0/1. (3) The tree models interactions: its top split is Contract = Month-to-month (54% importance), followed by our engineered ChargeTenureRatio and Fiber optic, giving natural rules such as “month-to-month and high charge per month of tenure → churn”.</w:t>
      </w:r>
    </w:p>
    <w:p>
      <w:pPr>
        <w:spacing w:before="100"/>
      </w:pPr>
      <w:r>
        <w:rPr>
          <w:b/>
        </w:rPr>
        <w:t xml:space="preserve">Overfitting and hand-worked split: </w:t>
      </w:r>
      <w:r>
        <w:t>An unlimited tree scores 1.000 ROC-AUC on training data but only 0.662 in CV; limiting the depth to 5 gives 0.856 vs 0.830. Our hand calculation on 20 sampled customers chose InternetService = Fiber optic (IG = 0.124, Gini decrease = 0.062) over Contract (IG = 0.025), while the full data chooses Contract. This shows single trees are unstable on small samples.</w:t>
      </w:r>
    </w:p>
    <w:p>
      <w:pPr>
        <w:spacing w:before="100"/>
      </w:pPr>
      <w:r>
        <w:rPr>
          <w:b/>
        </w:rPr>
        <w:t xml:space="preserve">Next step: </w:t>
      </w:r>
      <w:r>
        <w:t>Part 3 will use ensembles (Random Forest, Gradient Boosting) to reduce this instability, and will tune hyperparameters with cross-validation.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