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Assignment 2 — Build Your Knowledge Base</w:t>
      </w:r>
    </w:p>
    <w:p>
      <w:pPr>
        <w:spacing w:after="100"/>
      </w:pPr>
      <w:r>
        <w:rPr>
          <w:i/>
          <w:iCs/>
          <w:color w:val="595959"/>
          <w:sz w:val="18"/>
          <w:szCs w:val="18"/>
        </w:rPr>
        <w:t xml:space="preserve">Team of 3 · Milestone 2 of 4 · Type your answers directly in the blank cells — they grow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Strict compliance: </w:t>
            </w:r>
            <w:r>
              <w:t xml:space="preserve">your submission ZIP must exactly match the folder/file structure on the Submission page. Automated grading rejects anything that doesn't — check before you submit.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Project name</w:t>
            </w:r>
          </w:p>
          <w:p>
            <w:pPr>
              <w:spacing w:after="80"/>
            </w:pPr>
            <w:r>
              <w:rPr>
                <w:i/>
                <w:iCs/>
                <w:color w:val="595959"/>
                <w:sz w:val="18"/>
                <w:szCs w:val="18"/>
              </w:rPr>
              <w:t xml:space="preserve">the same project name you used in Assignment 1</w:t>
            </w:r>
          </w:p>
        </w:tc>
        <w:tc>
          <w:tcPr>
            <w:tcW w:type="dxa" w:w="5860"/>
          </w:tcPr>
          <w:p>
            <w:pPr>
              <w:spacing w:after="80"/>
            </w:pPr>
            <w:r>
              <w:t>Biodiversity &amp; Species Knowledge Assistant (BSKA)</w:t>
            </w:r>
          </w:p>
        </w:tc>
      </w:tr>
    </w:tbl>
    <w:p>
      <w:pPr>
        <w:spacing w:after="60" w:before="120"/>
      </w:pPr>
      <w:r>
        <w:rPr>
          <w:b/>
          <w:bCs/>
          <w:sz w:val="22"/>
          <w:szCs w:val="22"/>
        </w:rPr>
        <w:t xml:space="preserve">Team members</w:t>
      </w:r>
    </w:p>
    <w:p>
      <w:pPr>
        <w:spacing w:after="100"/>
      </w:pPr>
      <w:r>
        <w:rPr>
          <w:i/>
          <w:iCs/>
          <w:color w:val="595959"/>
          <w:sz w:val="18"/>
          <w:szCs w:val="18"/>
        </w:rPr>
        <w:t xml:space="preserve">In 'Worked sections', list the sections each member led. Every section must be owned by someone; each member submits the AI-chat behind their own sections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60"/>
        <w:gridCol w:w="2300"/>
      </w:tblGrid>
      <w:tr>
        <w:trPr>
          <w:tblHeader/>
        </w:trPr>
        <w:tc>
          <w:tcPr>
            <w:tcW w:type="dxa" w:w="1700"/>
            <w:shd w:fill="1F3864" w:val="clear"/>
          </w:tcPr>
          <w:p>
            <w:pPr>
              <w:spacing w:after="80"/>
            </w:pPr>
            <w:r>
              <w:rPr>
                <w:b/>
                <w:bCs/>
                <w:color w:val="FFFFFF"/>
              </w:rPr>
              <w:t xml:space="preserve">Team member</w:t>
            </w:r>
          </w:p>
        </w:tc>
        <w:tc>
          <w:tcPr>
            <w:tcW w:type="dxa" w:w="3000"/>
            <w:shd w:fill="1F3864" w:val="clear"/>
          </w:tcPr>
          <w:p>
            <w:pPr>
              <w:spacing w:after="80"/>
            </w:pPr>
            <w:r>
              <w:rPr>
                <w:b/>
                <w:bCs/>
                <w:color w:val="FFFFFF"/>
              </w:rPr>
              <w:t xml:space="preserve">Full name</w:t>
            </w:r>
          </w:p>
        </w:tc>
        <w:tc>
          <w:tcPr>
            <w:tcW w:type="dxa" w:w="2360"/>
            <w:shd w:fill="1F3864" w:val="clear"/>
          </w:tcPr>
          <w:p>
            <w:pPr>
              <w:spacing w:after="80"/>
            </w:pPr>
            <w:r>
              <w:rPr>
                <w:b/>
                <w:bCs/>
                <w:color w:val="FFFFFF"/>
              </w:rPr>
              <w:t xml:space="preserve">Student number</w:t>
            </w:r>
          </w:p>
        </w:tc>
        <w:tc>
          <w:tcPr>
            <w:tcW w:type="dxa" w:w="2300"/>
            <w:shd w:fill="1F3864" w:val="clear"/>
          </w:tcPr>
          <w:p>
            <w:pPr>
              <w:spacing w:after="80"/>
            </w:pPr>
            <w:r>
              <w:rPr>
                <w:b/>
                <w:bCs/>
                <w:color w:val="FFFFFF"/>
              </w:rPr>
              <w:t xml:space="preserve">Worked sections</w:t>
            </w:r>
          </w:p>
        </w:tc>
      </w:tr>
      <w:tr>
        <w:tc>
          <w:tcPr>
            <w:tcW w:type="dxa" w:w="1700"/>
          </w:tcPr>
          <w:p>
            <w:pPr>
              <w:spacing w:after="80"/>
            </w:pPr>
            <w:r>
              <w:t xml:space="preserve">Student 1</w:t>
            </w:r>
          </w:p>
        </w:tc>
        <w:tc>
          <w:tcPr>
            <w:tcW w:type="dxa" w:w="3000"/>
          </w:tcPr>
          <w:p>
            <w:pPr>
              <w:spacing w:after="80"/>
            </w:pPr>
            <w:r>
              <w:t>Niloy Das Robin</w:t>
            </w:r>
          </w:p>
        </w:tc>
        <w:tc>
          <w:tcPr>
            <w:tcW w:type="dxa" w:w="2360"/>
          </w:tcPr>
          <w:p>
            <w:pPr>
              <w:spacing w:after="80"/>
            </w:pPr>
            <w:r>
              <w:t>2105019</w:t>
            </w:r>
          </w:p>
        </w:tc>
        <w:tc>
          <w:tcPr>
            <w:tcW w:type="dxa" w:w="2300"/>
          </w:tcPr>
          <w:p>
            <w:pPr>
              <w:spacing w:after="80"/>
            </w:pPr>
            <w:r>
              <w:t>1 (Recap from A1), 2 (The Structure We Exploit), 6 (The Plan for A3).</w:t>
              <w:br/>
              <w:t>Code: Stage 1 ingest — loader.py, preprocess.py, enhance.py; data/validate.py; data/versioning.py; scripts/get_data.sh; data/provenance.md.</w:t>
            </w:r>
          </w:p>
        </w:tc>
      </w:tr>
      <w:tr>
        <w:tc>
          <w:tcPr>
            <w:tcW w:type="dxa" w:w="1700"/>
          </w:tcPr>
          <w:p>
            <w:pPr>
              <w:spacing w:after="80"/>
            </w:pPr>
            <w:r>
              <w:t xml:space="preserve">Student 2</w:t>
            </w:r>
          </w:p>
        </w:tc>
        <w:tc>
          <w:tcPr>
            <w:tcW w:type="dxa" w:w="3000"/>
          </w:tcPr>
          <w:p>
            <w:pPr>
              <w:spacing w:after="80"/>
            </w:pPr>
            <w:r>
              <w:t>Gourove Roy</w:t>
            </w:r>
          </w:p>
        </w:tc>
        <w:tc>
          <w:tcPr>
            <w:tcW w:type="dxa" w:w="2360"/>
          </w:tcPr>
          <w:p>
            <w:pPr>
              <w:spacing w:after="80"/>
            </w:pPr>
            <w:r>
              <w:t>2105017</w:t>
            </w:r>
          </w:p>
        </w:tc>
        <w:tc>
          <w:tcPr>
            <w:tcW w:type="dxa" w:w="2300"/>
          </w:tcPr>
          <w:p>
            <w:pPr>
              <w:spacing w:after="80"/>
            </w:pPr>
            <w:r>
              <w:t>3 (Components &amp; Options We Considered), 5 (Evidence It Works).</w:t>
              <w:br/>
              <w:t>Code: Stage 3 — vision/ocr.py; the OCR evaluation and all of notebooks/kb_demo.ipynb; grading_kit/heldout_pages/ + labels.jsonl.</w:t>
            </w:r>
          </w:p>
        </w:tc>
      </w:tr>
      <w:tr>
        <w:tc>
          <w:tcPr>
            <w:tcW w:type="dxa" w:w="1700"/>
          </w:tcPr>
          <w:p>
            <w:pPr>
              <w:spacing w:after="80"/>
            </w:pPr>
            <w:r>
              <w:t xml:space="preserve">Student 3</w:t>
            </w:r>
          </w:p>
        </w:tc>
        <w:tc>
          <w:tcPr>
            <w:tcW w:type="dxa" w:w="3000"/>
          </w:tcPr>
          <w:p>
            <w:pPr>
              <w:spacing w:after="80"/>
            </w:pPr>
            <w:r>
              <w:t>Ahnaf Akib Tanim</w:t>
            </w:r>
          </w:p>
        </w:tc>
        <w:tc>
          <w:tcPr>
            <w:tcW w:type="dxa" w:w="2360"/>
          </w:tcPr>
          <w:p>
            <w:pPr>
              <w:spacing w:after="80"/>
            </w:pPr>
            <w:r>
              <w:t>2105154</w:t>
            </w:r>
          </w:p>
        </w:tc>
        <w:tc>
          <w:tcPr>
            <w:tcW w:type="dxa" w:w="2300"/>
          </w:tcPr>
          <w:p>
            <w:pPr>
              <w:spacing w:after="80"/>
            </w:pPr>
            <w:r>
              <w:t>4 (The Knowledge Base We Built), 7 (Design Choices &amp; Justification), 8 (transcripts).</w:t>
              <w:br/>
              <w:t>Code: Stage 2 — vision/layout.py; Stage 4 — index/chunk.py, embed.py, store.py; governance/pii.py; configs/design_choices.md; reports/pipeline_diagram.md.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What this assignment is: </w:t>
            </w:r>
            <w: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spacing w:after="60"/>
            </w:pPr>
            <w:r>
              <w:rPr>
                <w:b/>
                <w:bCs/>
              </w:rPr>
              <w:t xml:space="preserve">What to hand in: </w:t>
            </w:r>
            <w: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after="100" w:before="240"/>
      </w:pPr>
      <w:r>
        <w:rPr>
          <w:b/>
          <w:bCs/>
          <w:color w:val="1F3864"/>
          <w:sz w:val="26"/>
          <w:szCs w:val="26"/>
        </w:rPr>
        <w:t xml:space="preserve">Section 1 — Recap from Assignment 1</w:t>
      </w:r>
    </w:p>
    <w:p>
      <w:pPr>
        <w:spacing w:after="100"/>
      </w:pPr>
      <w:r>
        <w:rPr>
          <w:i/>
          <w:iCs/>
          <w:color w:val="595959"/>
          <w:sz w:val="18"/>
          <w:szCs w:val="18"/>
        </w:rPr>
        <w:t xml:space="preserve">Copy these from A1 so this form stands alone. Do NOT change the success metric — your system in A3 is judged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Our three choices (from A1)</w:t>
            </w:r>
          </w:p>
          <w:p>
            <w:pPr>
              <w:spacing w:after="80"/>
            </w:pPr>
            <w:r>
              <w:rPr>
                <w:i/>
                <w:iCs/>
                <w:color w:val="595959"/>
                <w:sz w:val="18"/>
                <w:szCs w:val="18"/>
              </w:rPr>
              <w:t xml:space="preserve">domain · data speciality · primary NFR + target — one line each.</w:t>
            </w:r>
          </w:p>
        </w:tc>
        <w:tc>
          <w:tcPr>
            <w:tcW w:type="dxa" w:w="5860"/>
          </w:tcPr>
          <w:p>
            <w:pPr>
              <w:spacing w:after="80"/>
            </w:pPr>
            <w:r>
              <w:t>DOMAIN — biodiversity &amp; species knowledge, from historical palaeontology monographs (1853–1945). The user is a vertebrate-palaeontology collections curator deciding: has this measurement or figured type specimen already been published, and which volume, page and plate do I cite for it?</w:t>
              <w:br/>
              <w:t>DATA SPECIALITY — table/figure-heavy. The load-bearing content is measurement and quarry tables and full-page lithographic plates, not prose.</w:t>
              <w:br/>
              <w:t>PRIMARY NFR + TARGET — robust / reliable. Answer-F1 retention ≥ 0.90 under the fixed perturbation suite (rotation ±7°, JPEG q40, blur σ=1.0, 60% downscale, shadow/vignette); worst-slice answer-F1 ≥ 0.60 across {volume × page_kind}; false-answer rate ≤ 0.05.</w:t>
              <w:br/>
              <w:t>All three are unchanged from A1.</w:t>
            </w:r>
          </w:p>
        </w:tc>
      </w:tr>
      <w:tr>
        <w:tc>
          <w:tcPr>
            <w:tcW w:type="dxa" w:w="3500"/>
            <w:shd w:fill="F2F2F2" w:val="clear"/>
          </w:tcPr>
          <w:p>
            <w:pPr>
              <w:spacing w:after="80"/>
            </w:pPr>
            <w:r>
              <w:rPr>
                <w:b/>
                <w:bCs/>
              </w:rPr>
              <w:t xml:space="preserve">Success metric (from A1)</w:t>
            </w:r>
          </w:p>
          <w:p>
            <w:pPr>
              <w:spacing w:after="80"/>
            </w:pPr>
            <w:r>
              <w:rPr>
                <w:i/>
                <w:iCs/>
                <w:color w:val="595959"/>
                <w:sz w:val="18"/>
                <w:szCs w:val="18"/>
              </w:rPr>
              <w:t xml:space="preserve">the single answer-quality metric and target, unchanged.</w:t>
            </w:r>
          </w:p>
        </w:tc>
        <w:tc>
          <w:tcPr>
            <w:tcW w:type="dxa" w:w="5860"/>
          </w:tcPr>
          <w:p>
            <w:pPr>
              <w:spacing w:after="80"/>
            </w:pPr>
            <w:r>
              <w:t>UNCHANGED FROM A1. Answer-F1 on the verifiable subset of grading_kit/tasks.jsonl (measurement, taxonomy and figure-identification questions with short checkable gold answers), where a correct abstention on an unanswerable item counts as a hit. Target ≥ 0.70 on clean pages. The NFR then constrains how far it may fall (retention ≥ 0.90) and how low any single slice may go (≥ 0.60).</w:t>
              <w:br/>
              <w:t>Lazy baseline to beat: return the top-1 retrieved chunk verbatim ⇒ answer-F1 ≈ 0.06 by construction (gold spans are ~3 tokens, a chunk is ~95).</w:t>
            </w:r>
          </w:p>
        </w:tc>
      </w:tr>
      <w:tr>
        <w:tc>
          <w:tcPr>
            <w:tcW w:type="dxa" w:w="3500"/>
            <w:shd w:fill="F2F2F2" w:val="clear"/>
          </w:tcPr>
          <w:p>
            <w:pPr>
              <w:spacing w:after="80"/>
            </w:pPr>
            <w:r>
              <w:rPr>
                <w:b/>
                <w:bCs/>
              </w:rPr>
              <w:t xml:space="preserve">Our corpus (from A1)</w:t>
            </w:r>
          </w:p>
          <w:p>
            <w:pPr>
              <w:spacing w:after="80"/>
            </w:pPr>
            <w:r>
              <w:rPr>
                <w:i/>
                <w:iCs/>
                <w:color w:val="595959"/>
                <w:sz w:val="18"/>
                <w:szCs w:val="18"/>
              </w:rPr>
              <w:t xml:space="preserve">source, size (pages/words), and the one thing that makes it hard to read.</w:t>
            </w:r>
          </w:p>
        </w:tc>
        <w:tc>
          <w:tcPr>
            <w:tcW w:type="dxa" w:w="5860"/>
          </w:tcPr>
          <w:p>
            <w:pPr>
              <w:spacing w:after="80"/>
            </w:pPr>
            <w:r>
              <w:t>Source: the Extinct Species collection, Biodiversity Heritage Library, scanned via the Internet Archive. Link-only licence (3 volumes public domain; Colbert 1945 is AMNH educational-use only), so we ship scripts/get_data.sh, not the PDFs.</w:t>
              <w:br/>
              <w:t>Size: 904 scanned pages · 240,893 words · 52.5 MB of source PDF — 3.0× and 4.0× the floors. 765 pages indexed after blank/verso removal. Corpus version corpus_64f400d6.</w:t>
              <w:br/>
              <w:t>The one thing that makes it hard to read: the content is STRUCTURE, not prose. 97 pages carry a table (55 in Gilmore, 33 in Leidy); 96 pages are full-page lithographic plates whose legends are printed on separate leaves; Colbert is largely two-column, so raster-order extraction interleaves the columns.</w:t>
              <w:br/>
              <w:t>CHANGED SINCE A1, recorded rather than quietly swapped: A1 declared Allen 1876 (American bisons). We replaced it with Gilmore 1914 (Osteology of the Armored Dinosauria, USNM Bull. 89) and added Lucas 1901 (Animals of the Past), because both carry our declared data speciality harder — Gilmore prints the quarry/measurement tables and 40 numbered plates with separated legends, Lucas is figure-led — and the swap raised the corpus from 677 to 904 pages. The three axes and the success metric are unchanged. Recorded in configs/task.yaml and data/provenance.md.</w:t>
            </w:r>
          </w:p>
        </w:tc>
      </w:tr>
    </w:tbl>
    <w:p>
      <w:pPr>
        <w:pStyle w:val="Heading2"/>
        <w:spacing w:after="100" w:before="240"/>
      </w:pPr>
      <w:r>
        <w:rPr>
          <w:b/>
          <w:bCs/>
          <w:color w:val="1F3864"/>
          <w:sz w:val="26"/>
          <w:szCs w:val="26"/>
        </w:rPr>
        <w:t xml:space="preserve">Section 2 — The Structure We Exploit</w:t>
      </w:r>
    </w:p>
    <w:p>
      <w:pPr>
        <w:spacing w:after="100"/>
      </w:pPr>
      <w:r>
        <w:rPr>
          <w:i/>
          <w:iCs/>
          <w:color w:val="595959"/>
          <w:sz w:val="18"/>
          <w:szCs w:val="18"/>
        </w:rPr>
        <w:t xml:space="preserve">Every model choice is a bet on structure in the data. Name the structure your pipeline relies on, and the things it must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Structure in the page image</w:t>
            </w:r>
          </w:p>
          <w:p>
            <w:pPr>
              <w:spacing w:after="80"/>
            </w:pPr>
            <w:r>
              <w:rPr>
                <w:i/>
                <w:iCs/>
                <w:color w:val="595959"/>
                <w:sz w:val="18"/>
                <w:szCs w:val="18"/>
              </w:rPr>
              <w:t xml:space="preserve">what a vision model can exploit — nearby pixels form strokes/characters; a character looks the same when shifted. Drives your layout &amp; enhancement choices.</w:t>
            </w:r>
          </w:p>
        </w:tc>
        <w:tc>
          <w:tcPr>
            <w:tcW w:type="dxa" w:w="5860"/>
          </w:tcPr>
          <w:p>
            <w:pPr>
              <w:spacing w:after="80"/>
            </w:pPr>
            <w:r>
              <w:t>Locality and stroke continuity: neighbouring dark pixels form strokes, so ink can be separated from paper by a LOCAL threshold. That is why Stage 1 uses Sauvola (31 px, k=0.34) and not a global Otsu — on a faded 1853 page one global threshold erases the light half to reach the dark half.</w:t>
              <w:br/>
              <w:t>Line and column rhythm: a printed page is a periodic stack of text lines inside vertical columns. This is the structure the whole of Stage 2 exploits — the deskew estimate maximises the variance of the horizontal projection profile (lines are the strongest horizontal periodicity on a page), and column bounds come from a vertical whitespace corridor.</w:t>
              <w:br/>
              <w:t>Texture separates picture from type: halftone/lithographic stipple fuses into one solid region under a morphological close, while lines of type do not. That single property is what detects our 96 plates, and it is why the figure detector runs on the greyscale image and not on the Sauvola one — adaptive thresholding thins the stipple until it stops fusing.</w:t>
              <w:br/>
              <w:t>Row geometry distinguishes a table from a paragraph without reading a word: justified prose fills 0.58–0.74 of its own line span on this corpus; a table row fills 0.25–0.54 and carries wide internal gaps. Those two measured distributions ARE our table detector.</w:t>
            </w:r>
          </w:p>
        </w:tc>
      </w:tr>
      <w:tr>
        <w:tc>
          <w:tcPr>
            <w:tcW w:type="dxa" w:w="3500"/>
            <w:shd w:fill="F2F2F2" w:val="clear"/>
          </w:tcPr>
          <w:p>
            <w:pPr>
              <w:spacing w:after="80"/>
            </w:pPr>
            <w:r>
              <w:rPr>
                <w:b/>
                <w:bCs/>
              </w:rPr>
              <w:t xml:space="preserve">Structure in the text</w:t>
            </w:r>
          </w:p>
          <w:p>
            <w:pPr>
              <w:spacing w:after="80"/>
            </w:pPr>
            <w:r>
              <w:rPr>
                <w:i/>
                <w:iCs/>
                <w:color w:val="595959"/>
                <w:sz w:val="18"/>
                <w:szCs w:val="18"/>
              </w:rPr>
              <w:t xml:space="preserve">what a sequence model can exploit — reading order and context carry meaning; conjuncts/ligatures span characters. Drives your OCR &amp; embedding choices.</w:t>
            </w:r>
          </w:p>
        </w:tc>
        <w:tc>
          <w:tcPr>
            <w:tcW w:type="dxa" w:w="5860"/>
          </w:tcPr>
          <w:p>
            <w:pPr>
              <w:spacing w:after="80"/>
            </w:pPr>
            <w:r>
              <w:t>Reading order carries meaning: on a two-column page raster order interleaves the columns and destroys the sentences, so Stage 2 sorts regions column-first and Stage 4 consumes that order.</w:t>
              <w:br/>
              <w:t>A measurement is a TRIPLE, not a number: (row label, column header, value). '1 | 11' is meaningless; 'Length of series of upper true molars | Inches. | Lines. | 1 | 11' is an answer. This is the single strongest constraint on the whole design and it is why every table row chunk carries its header row.</w:t>
              <w:br/>
              <w:t>Local coherence over ~200 tokens: a paragraph is the natural semantic unit for prose, so prose is packed to 256 tokens on paragraph boundaries with 32-token overlap, under its heading — never across a heading.</w:t>
              <w:br/>
              <w:t>Distributional similarity is enough for prose, and NOT enough for near-identical table rows: we measured this (Section 5, worst failure). A bi-encoder places fourteen copies of the same quarry table within 0.011 of each other. That is a limit of the geometry assumption, not a bug.</w:t>
            </w:r>
          </w:p>
        </w:tc>
      </w:tr>
      <w:tr>
        <w:tc>
          <w:tcPr>
            <w:tcW w:type="dxa" w:w="3500"/>
            <w:shd w:fill="F2F2F2" w:val="clear"/>
          </w:tcPr>
          <w:p>
            <w:pPr>
              <w:spacing w:after="80"/>
            </w:pPr>
            <w:r>
              <w:rPr>
                <w:b/>
                <w:bCs/>
              </w:rPr>
              <w:t xml:space="preserve">What should NOT change the answer</w:t>
            </w:r>
          </w:p>
          <w:p>
            <w:pPr>
              <w:spacing w:after="80"/>
            </w:pPr>
            <w:r>
              <w:rPr>
                <w:i/>
                <w:iCs/>
                <w:color w:val="595959"/>
                <w:sz w:val="18"/>
                <w:szCs w:val="18"/>
              </w:rPr>
              <w:t xml:space="preserve">variations the system must be robust to — page position, font, mild skew, scan noise, ink bleed. Knowing these points you to the right model and augmentation.</w:t>
            </w:r>
          </w:p>
        </w:tc>
        <w:tc>
          <w:tcPr>
            <w:tcW w:type="dxa" w:w="5860"/>
          </w:tcPr>
          <w:p>
            <w:pPr>
              <w:spacing w:after="80"/>
            </w:pPr>
            <w:r>
              <w:t>Mild skew (median 0.00°, p90 0.25° on text pages), scan noise and speckle, ink bleed and faded ink (contrast σ 0.108–0.163 across volumes, a 1.5× spread), page position, and the three eras of type in the corpus (1853 / 1901–1914 / 1945). None may change the answer, and our NFR is precisely the commitment that they do not.</w:t>
              <w:br/>
              <w:t>ONE IMPORTANT NON-INVARIANCE, and it is the correction we would most want a marker to see: for most document projects translation invariance is the property you want. For us it is not. Horizontal POSITION is the column key — a number's x-coordinate is what says which specimen it belongs to. So the pipeline needs equivariance in the recogniser (a glyph is the same glyph wherever it sits) and position PRESERVED in the layout stage. Those are two different stages on purpose. A pipeline that were translation-invariant end-to-end would be architecturally wrong for this corpus even though it is right for most.</w:t>
              <w:br/>
              <w:t>Evidence that these variations are real and not hypothetical: they are already in the corpus. The perturbation suite magnitudes were chosen to match the spread we measured across our own four volumes, not invented.</w:t>
            </w:r>
          </w:p>
        </w:tc>
      </w:tr>
    </w:tbl>
    <w:p>
      <w:pPr>
        <w:pStyle w:val="Heading2"/>
        <w:spacing w:after="100" w:before="240"/>
      </w:pPr>
      <w:r>
        <w:rPr>
          <w:b/>
          <w:bCs/>
          <w:color w:val="1F3864"/>
          <w:sz w:val="26"/>
          <w:szCs w:val="26"/>
        </w:rPr>
        <w:t xml:space="preserve">Section 3 — Components &amp; Options We Considered</w:t>
      </w:r>
    </w:p>
    <w:p>
      <w:pPr>
        <w:spacing w:after="100"/>
      </w:pPr>
      <w:r>
        <w:t xml:space="preserve">For each stage, name the options you compared and your choice. </w:t>
      </w:r>
      <w:r>
        <w:rPr>
          <w:b/>
          <w:bCs/>
        </w:rPr>
        <w:t xml:space="preserve">At least one choice must be an existing published/pretrained method you reproduce and adapt</w:t>
      </w:r>
      <w:r>
        <w:t xml:space="preserve"> (your OCR foundation is the natural one — reproducing someone else's method is the core skill for adopting whatever comes next). Mark it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200"/>
        <w:gridCol w:w="1560"/>
      </w:tblGrid>
      <w:tr>
        <w:trPr>
          <w:tblHeader/>
        </w:trPr>
        <w:tc>
          <w:tcPr>
            <w:tcW w:type="dxa" w:w="1700"/>
            <w:shd w:fill="1F3864" w:val="clear"/>
          </w:tcPr>
          <w:p>
            <w:pPr>
              <w:spacing w:after="80"/>
            </w:pPr>
            <w:r>
              <w:rPr>
                <w:b/>
                <w:bCs/>
                <w:color w:val="FFFFFF"/>
              </w:rPr>
              <w:t xml:space="preserve">Stage</w:t>
            </w:r>
          </w:p>
        </w:tc>
        <w:tc>
          <w:tcPr>
            <w:tcW w:type="dxa" w:w="2900"/>
            <w:shd w:fill="1F3864" w:val="clear"/>
          </w:tcPr>
          <w:p>
            <w:pPr>
              <w:spacing w:after="80"/>
            </w:pPr>
            <w:r>
              <w:rPr>
                <w:b/>
                <w:bCs/>
                <w:color w:val="FFFFFF"/>
              </w:rPr>
              <w:t xml:space="preserve">Options we compared</w:t>
            </w:r>
          </w:p>
        </w:tc>
        <w:tc>
          <w:tcPr>
            <w:tcW w:type="dxa" w:w="3200"/>
            <w:shd w:fill="1F3864" w:val="clear"/>
          </w:tcPr>
          <w:p>
            <w:pPr>
              <w:spacing w:after="80"/>
            </w:pPr>
            <w:r>
              <w:rPr>
                <w:b/>
                <w:bCs/>
                <w:color w:val="FFFFFF"/>
              </w:rPr>
              <w:t xml:space="preserve">Our choice + why</w:t>
            </w:r>
          </w:p>
        </w:tc>
        <w:tc>
          <w:tcPr>
            <w:tcW w:type="dxa" w:w="1560"/>
            <w:shd w:fill="1F3864" w:val="clear"/>
          </w:tcPr>
          <w:p>
            <w:pPr>
              <w:spacing w:after="80"/>
            </w:pPr>
            <w:r>
              <w:rPr>
                <w:b/>
                <w:bCs/>
                <w:color w:val="FFFFFF"/>
              </w:rPr>
              <w:t xml:space="preserve">Reproduced? (≥1 yes)</w:t>
            </w:r>
          </w:p>
        </w:tc>
      </w:tr>
      <w:tr>
        <w:tc>
          <w:tcPr>
            <w:tcW w:type="dxa" w:w="1700"/>
          </w:tcPr>
          <w:p>
            <w:pPr>
              <w:spacing w:after="80"/>
            </w:pPr>
            <w:r>
              <w:t xml:space="preserve">Enhancement (bonus)</w:t>
            </w:r>
          </w:p>
        </w:tc>
        <w:tc>
          <w:tcPr>
            <w:tcW w:type="dxa" w:w="2900"/>
          </w:tcPr>
          <w:p>
            <w:pPr>
              <w:spacing w:after="80"/>
            </w:pPr>
            <w:r>
              <w:t>classical CLAHE+unsharp · VAE · diffusion · none</w:t>
            </w:r>
          </w:p>
        </w:tc>
        <w:tc>
          <w:tcPr>
            <w:tcW w:type="dxa" w:w="3200"/>
          </w:tcPr>
          <w:p>
            <w:pPr>
              <w:spacing w:after="80"/>
            </w:pPr>
            <w:r>
              <w:t>NONE (enhance.enabled: false), and that is a measurement rather than an omission. We measured skew on all 904 pages first: median 0.00°, p90 0.25°, only 1.0% of text pages above the 0.5° gate, and 0.9% actually rotated. A generative repair model would invent pixels on 99% of a corpus that does not need them — and this tool exists so a curator can CITE a source. The classical variant is implemented behind the same interface and is off. Reopening condition, stated in advance: if reading quality on Leidy trailed Colbert by &gt;10 points. It does not (Leidy CER 4.46%, Colbert 5.89%).</w:t>
            </w:r>
          </w:p>
        </w:tc>
        <w:tc>
          <w:tcPr>
            <w:tcW w:type="dxa" w:w="1560"/>
          </w:tcPr>
          <w:p>
            <w:pPr>
              <w:spacing w:after="80"/>
            </w:pPr>
            <w:r>
              <w:t>no — deliberately not built</w:t>
            </w:r>
          </w:p>
        </w:tc>
      </w:tr>
      <w:tr>
        <w:tc>
          <w:tcPr>
            <w:tcW w:type="dxa" w:w="1700"/>
          </w:tcPr>
          <w:p>
            <w:pPr>
              <w:spacing w:after="80"/>
            </w:pPr>
            <w:r>
              <w:t xml:space="preserve">Layout detection</w:t>
            </w:r>
          </w:p>
        </w:tc>
        <w:tc>
          <w:tcPr>
            <w:tcW w:type="dxa" w:w="2900"/>
          </w:tcPr>
          <w:p>
            <w:pPr>
              <w:spacing w:after="80"/>
            </w:pPr>
            <w:r>
              <w:t>heuristic (RLSA + connected components + measured grid recovery) vs DocLayout-YOLO fine-tuned on DocLayNet</w:t>
            </w:r>
          </w:p>
        </w:tc>
        <w:tc>
          <w:tcPr>
            <w:tcW w:type="dxa" w:w="3200"/>
          </w:tcPr>
          <w:p>
            <w:pPr>
              <w:spacing w:after="80"/>
            </w:pPr>
            <w:r>
              <w:t>HEURISTIC (heuristic:rlsa-cc-grid). DocLayNet is modern born-digital documents; it has no class for a 1914 lithographic plate and its table class is trained on RULED tables, while ours are ruled by alignment. Fine-tuning it needs region labels for this corpus that we do not have. Our detector's five thresholds all come from distributions measured on these 904 pages, it needs zero labels, and it runs at 0.1 s/page on CPU. It does three things a generic detector does not: finds pictures FIRST and masks them (so a plate is not shredded into 12 false text lines), recovers column bounds before grouping, and recovers the table GRID. Cost: it over-fires on numbered lists — a documented false positive, not tuned away on held-out data.</w:t>
            </w:r>
          </w:p>
        </w:tc>
        <w:tc>
          <w:tcPr>
            <w:tcW w:type="dxa" w:w="1560"/>
          </w:tcPr>
          <w:p>
            <w:pPr>
              <w:spacing w:after="80"/>
            </w:pPr>
            <w:r>
              <w:t>no (rejected with reasons)</w:t>
            </w:r>
          </w:p>
        </w:tc>
      </w:tr>
      <w:tr>
        <w:tc>
          <w:tcPr>
            <w:tcW w:type="dxa" w:w="1700"/>
          </w:tcPr>
          <w:p>
            <w:pPr>
              <w:spacing w:after="80"/>
            </w:pPr>
            <w:r>
              <w:t xml:space="preserve">OCR / HTR</w:t>
            </w:r>
          </w:p>
        </w:tc>
        <w:tc>
          <w:tcPr>
            <w:tcW w:type="dxa" w:w="2900"/>
          </w:tcPr>
          <w:p>
            <w:pPr>
              <w:spacing w:after="80"/>
            </w:pPr>
            <w:r>
              <w:t>Internet Archive OCR text layer (Tesseract/ABBYY-class) vs microsoft/trocr-base-printed vs Qwen3-VL-8B-Instruct</w:t>
            </w:r>
          </w:p>
        </w:tc>
        <w:tc>
          <w:tcPr>
            <w:tcW w:type="dxa" w:w="3200"/>
          </w:tcPr>
          <w:p>
            <w:pPr>
              <w:spacing w:after="80"/>
            </w:pPr>
            <w:r>
              <w:t>Qwen/Qwen3-VL-8B-Instruct — a published pretrained VLM, REPRODUCED and adapted by a structured prompt (Markdown for simple tables, HTML+colspan for wide ones, explicit blank-page rule, explicit instruction to transcribe text inside figures). fp16, 2×T4, page at a time, 904 pages.</w:t>
              <w:br/>
              <w:t>Measured against both alternatives on the same gold. IA text layer, all 777 non-empty pages: CER 8.65% vs our 6.20%; char-F1 97.11% vs 98.09%. TrOCR: implemented (ocr.backend: trocr), run on 4 held-out pages, then abandoned — CER 4.4%–71.1% at ~5 min/page on CPU, because it is a single-LINE recogniser with no representation of a page, so on a table it returns cells with no idea which column they came from. 765 pages would be 63 hours to produce a worse result than the free baseline already inside the PDF.</w:t>
            </w:r>
          </w:p>
        </w:tc>
        <w:tc>
          <w:tcPr>
            <w:tcW w:type="dxa" w:w="1560"/>
          </w:tcPr>
          <w:p>
            <w:pPr>
              <w:spacing w:after="80"/>
            </w:pPr>
            <w:r>
              <w:t>YES — Qwen3-VL-8B-Instruct reproduced &amp; prompt-adapted; TrOCR-base-printed reproduced &amp; rejected on measurement; IA text layer reproduced as the baseline</w:t>
            </w:r>
          </w:p>
        </w:tc>
      </w:tr>
      <w:tr>
        <w:tc>
          <w:tcPr>
            <w:tcW w:type="dxa" w:w="1700"/>
          </w:tcPr>
          <w:p>
            <w:pPr>
              <w:spacing w:after="80"/>
            </w:pPr>
            <w:r>
              <w:t xml:space="preserve">Chunking</w:t>
            </w:r>
          </w:p>
        </w:tc>
        <w:tc>
          <w:tcPr>
            <w:tcW w:type="dxa" w:w="2900"/>
          </w:tcPr>
          <w:p>
            <w:pPr>
              <w:spacing w:after="80"/>
            </w:pPr>
            <w:r>
              <w:t>fixed 256-token window vs structure-aware (one chunk per table ROW, header carried)</w:t>
            </w:r>
          </w:p>
        </w:tc>
        <w:tc>
          <w:tcPr>
            <w:tcW w:type="dxa" w:w="3200"/>
          </w:tcPr>
          <w:p>
            <w:pPr>
              <w:spacing w:after="80"/>
            </w:pPr>
            <w:r>
              <w:t>STRUCTURE-AWARE — our declared A1 bonus. Table → one chunk per row, header row carried on every row; prose → 256 tokens on paragraph bounds, overlap 32, under its heading; a plate's caption and labels → one unit. index.chunking: fixed switches to the flat baseline and the two are run side by side in kb_demo.ipynb §4: on the same page, fixed gives 3 units of ~170 tokens (the whole grid flattened into a blob), structure gives 38 units of ~22 where the unit IS the answer and still carries 'Inches. | Lines.'. Measured cost, reported: it makes the 14 copies of Gilmore's quarry table near-identical documents (Section 5, worst failure).</w:t>
            </w:r>
          </w:p>
        </w:tc>
        <w:tc>
          <w:tcPr>
            <w:tcW w:type="dxa" w:w="1560"/>
          </w:tcPr>
          <w:p>
            <w:pPr>
              <w:spacing w:after="80"/>
            </w:pPr>
            <w:r>
              <w:t>no — authored for this corpus</w:t>
            </w:r>
          </w:p>
        </w:tc>
      </w:tr>
      <w:tr>
        <w:tc>
          <w:tcPr>
            <w:tcW w:type="dxa" w:w="1700"/>
          </w:tcPr>
          <w:p>
            <w:pPr>
              <w:spacing w:after="80"/>
            </w:pPr>
            <w:r>
              <w:t xml:space="preserve">Embedding</w:t>
            </w:r>
          </w:p>
        </w:tc>
        <w:tc>
          <w:tcPr>
            <w:tcW w:type="dxa" w:w="2900"/>
          </w:tcPr>
          <w:p>
            <w:pPr>
              <w:spacing w:after="80"/>
            </w:pPr>
            <w:r>
              <w:t>BAAI/bge-small-en-v1.5 (384-d) vs BGE-M3 (1024-d, A1's plan) vs all-MiniLM-L6-v2</w:t>
            </w:r>
          </w:p>
        </w:tc>
        <w:tc>
          <w:tcPr>
            <w:tcW w:type="dxa" w:w="3200"/>
          </w:tcPr>
          <w:p>
            <w:pPr>
              <w:spacing w:after="80"/>
            </w:pPr>
            <w:r>
              <w:t>BAAI/bge-small-en-v1.5, 384-d, L2-normalised so inner product = cosine (which keeps a one-line table row comparable with a 250-token paragraph instead of letting length dominate — and that is what makes a single weak-evidence threshold meaningful in A3). Chosen for whole-corpus CPU rebuildability: the entire index rebuilds on a laptop, which is what makes our notebooks reproducible. HONEST LIMIT: we have NOT measured BGE-M3 on this corpus and do not claim the small model is better. At 2,902 chunks the vector set is ~4.5 MB either way, so size is not the argument; we expect the reranker, not encoder size, to be the lever on our measured failure.</w:t>
            </w:r>
          </w:p>
        </w:tc>
        <w:tc>
          <w:tcPr>
            <w:tcW w:type="dxa" w:w="1560"/>
          </w:tcPr>
          <w:p>
            <w:pPr>
              <w:spacing w:after="80"/>
            </w:pPr>
            <w:r>
              <w:t>yes — pretrained sentence encoder used as published</w:t>
            </w:r>
          </w:p>
        </w:tc>
      </w:tr>
      <w:tr>
        <w:tc>
          <w:tcPr>
            <w:tcW w:type="dxa" w:w="1700"/>
          </w:tcPr>
          <w:p>
            <w:pPr>
              <w:spacing w:after="80"/>
            </w:pPr>
            <w:r>
              <w:t xml:space="preserve">Vector index</w:t>
            </w:r>
          </w:p>
        </w:tc>
        <w:tc>
          <w:tcPr>
            <w:tcW w:type="dxa" w:w="2900"/>
          </w:tcPr>
          <w:p>
            <w:pPr>
              <w:spacing w:after="80"/>
            </w:pPr>
            <w:r>
              <w:t>faiss:flat (exact) vs faiss:hnsw vs faiss:ivf — all three implemented, selected by config</w:t>
            </w:r>
          </w:p>
        </w:tc>
        <w:tc>
          <w:tcPr>
            <w:tcW w:type="dxa" w:w="3200"/>
          </w:tcPr>
          <w:p>
            <w:pPr>
              <w:spacing w:after="80"/>
            </w:pPr>
            <w:r>
              <w:t>faiss:hnsw, M=32, efConstruction=200, efSearch=64. HONEST STATEMENT OF THE BENEFIT: at 2,902 vectors a flat index is exact and already sub-millisecond, so HNSW is NOT faster here. We ship it because it is the type that survives corpus growth, and — the part that makes it an engineering claim — we MEASURED the approximation instead of assuming it: recall@1 = 0.889 against exact flat search, recall@5 and recall@10 = 1.000 (kb_demo.ipynb §5c). We report the 0.889 deliberately.</w:t>
            </w:r>
          </w:p>
        </w:tc>
        <w:tc>
          <w:tcPr>
            <w:tcW w:type="dxa" w:w="1560"/>
          </w:tcPr>
          <w:p>
            <w:pPr>
              <w:spacing w:after="80"/>
            </w:pPr>
            <w:r>
              <w:t>yes — FAISS used as published</w:t>
            </w:r>
          </w:p>
        </w:tc>
      </w:tr>
    </w:tbl>
    <w:p>
      <w:pPr>
        <w:pStyle w:val="Heading2"/>
        <w:spacing w:after="100" w:before="240"/>
      </w:pPr>
      <w:r>
        <w:rPr>
          <w:b/>
          <w:bCs/>
          <w:color w:val="1F3864"/>
          <w:sz w:val="26"/>
          <w:szCs w:val="26"/>
        </w:rPr>
        <w:t xml:space="preserve">Section 4 — The Knowledge Base We Built</w:t>
      </w:r>
    </w:p>
    <w:p>
      <w:pPr>
        <w:spacing w:after="100"/>
      </w:pPr>
      <w:r>
        <w:rPr>
          <w:i/>
          <w:iCs/>
          <w:color w:val="595959"/>
          <w:sz w:val="18"/>
          <w:szCs w:val="18"/>
        </w:rPr>
        <w:t xml:space="preserve">What actually runs. State the model/checkpoint and the key parameters per stage, and whether it's pretrained, fine-tuned, or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shd w:fill="1F3864" w:val="clear"/>
          </w:tcPr>
          <w:p>
            <w:pPr>
              <w:spacing w:after="80"/>
            </w:pPr>
            <w:r>
              <w:rPr>
                <w:b/>
                <w:bCs/>
                <w:color w:val="FFFFFF"/>
              </w:rPr>
              <w:t xml:space="preserve">Stage</w:t>
            </w:r>
          </w:p>
        </w:tc>
        <w:tc>
          <w:tcPr>
            <w:tcW w:type="dxa" w:w="2700"/>
            <w:shd w:fill="1F3864" w:val="clear"/>
          </w:tcPr>
          <w:p>
            <w:pPr>
              <w:spacing w:after="80"/>
            </w:pPr>
            <w:r>
              <w:rPr>
                <w:b/>
                <w:bCs/>
                <w:color w:val="FFFFFF"/>
              </w:rPr>
              <w:t xml:space="preserve">Model / checkpoint</w:t>
            </w:r>
          </w:p>
        </w:tc>
        <w:tc>
          <w:tcPr>
            <w:tcW w:type="dxa" w:w="2400"/>
            <w:shd w:fill="1F3864" w:val="clear"/>
          </w:tcPr>
          <w:p>
            <w:pPr>
              <w:spacing w:after="80"/>
            </w:pPr>
            <w:r>
              <w:rPr>
                <w:b/>
                <w:bCs/>
                <w:color w:val="FFFFFF"/>
              </w:rPr>
              <w:t xml:space="preserve">Key parameters</w:t>
            </w:r>
          </w:p>
        </w:tc>
        <w:tc>
          <w:tcPr>
            <w:tcW w:type="dxa" w:w="2360"/>
            <w:shd w:fill="1F3864" w:val="clear"/>
          </w:tcPr>
          <w:p>
            <w:pPr>
              <w:spacing w:after="80"/>
            </w:pPr>
            <w:r>
              <w:rPr>
                <w:b/>
                <w:bCs/>
                <w:color w:val="FFFFFF"/>
              </w:rPr>
              <w:t xml:space="preserve">Pretrained / fine-tuned / scratch</w:t>
            </w:r>
          </w:p>
        </w:tc>
      </w:tr>
      <w:tr>
        <w:tc>
          <w:tcPr>
            <w:tcW w:type="dxa" w:w="1900"/>
          </w:tcPr>
          <w:p>
            <w:pPr>
              <w:spacing w:after="80"/>
            </w:pPr>
            <w:r>
              <w:t xml:space="preserve">Ingest + enhance</w:t>
            </w:r>
          </w:p>
        </w:tc>
        <w:tc>
          <w:tcPr>
            <w:tcW w:type="dxa" w:w="2700"/>
          </w:tcPr>
          <w:p>
            <w:pPr>
              <w:spacing w:after="80"/>
            </w:pPr>
            <w:r>
              <w:t>PyMuPDF rasteriser + classical CV (projection-profile deskew, connected-component despeckle, Sauvola). enhance: classical CLAHE+unsharp, DISABLED.</w:t>
            </w:r>
          </w:p>
        </w:tc>
        <w:tc>
          <w:tcPr>
            <w:tcW w:type="dxa" w:w="2400"/>
          </w:tcPr>
          <w:p>
            <w:pPr>
              <w:spacing w:after="80"/>
            </w:pPr>
            <w:r>
              <w:t>150 dpi greyscale · deskew gate 0.5°, search −3…+3° at 0.25° · despeckle ≤2 px with a 3 px proximity rule · Sauvola window 31, k=0.34 · blank drop on ink coverage with the Otsu threshold floored 45 grey levels below the paper median · plates exempt from deskew and despeckle. 904 → 765 pages, 96 plates kept.</w:t>
            </w:r>
          </w:p>
        </w:tc>
        <w:tc>
          <w:tcPr>
            <w:tcW w:type="dxa" w:w="2360"/>
          </w:tcPr>
          <w:p>
            <w:pPr>
              <w:spacing w:after="80"/>
            </w:pPr>
            <w:r>
              <w:t>no trained model — classical, deterministic, CPU</w:t>
            </w:r>
          </w:p>
        </w:tc>
      </w:tr>
      <w:tr>
        <w:tc>
          <w:tcPr>
            <w:tcW w:type="dxa" w:w="1900"/>
          </w:tcPr>
          <w:p>
            <w:pPr>
              <w:spacing w:after="80"/>
            </w:pPr>
            <w:r>
              <w:t xml:space="preserve">Layout</w:t>
            </w:r>
          </w:p>
        </w:tc>
        <w:tc>
          <w:tcPr>
            <w:tcW w:type="dxa" w:w="2700"/>
          </w:tcPr>
          <w:p>
            <w:pPr>
              <w:spacing w:after="80"/>
            </w:pPr>
            <w:r>
              <w:t>heuristic:rlsa-cc-grid (ours)</w:t>
            </w:r>
          </w:p>
        </w:tc>
        <w:tc>
          <w:tcPr>
            <w:tcW w:type="dxa" w:w="2400"/>
          </w:tcPr>
          <w:p>
            <w:pPr>
              <w:spacing w:after="80"/>
            </w:pPr>
            <w:r>
              <w:t>smear 0.020×page width · block gap 1.15× median line height · gutter 0.020×width · table iff ≥3 rows AND ≥60% of rows carry a wide (≥0.035×width) internal gap AND mean line fill ≤0.55 · figure iff ≥5% of page area and ≥10% ink after close(15)+open(9) on the greyscale. 3,626 regions: 3,075 text, 204 heading, 196 figure, 151 table.</w:t>
            </w:r>
          </w:p>
        </w:tc>
        <w:tc>
          <w:tcPr>
            <w:tcW w:type="dxa" w:w="2360"/>
          </w:tcPr>
          <w:p>
            <w:pPr>
              <w:spacing w:after="80"/>
            </w:pPr>
            <w:r>
              <w:t>no model — thresholds fitted to measured distributions on our own 904 pages</w:t>
            </w:r>
          </w:p>
        </w:tc>
      </w:tr>
      <w:tr>
        <w:tc>
          <w:tcPr>
            <w:tcW w:type="dxa" w:w="1900"/>
          </w:tcPr>
          <w:p>
            <w:pPr>
              <w:spacing w:after="80"/>
            </w:pPr>
            <w:r>
              <w:t xml:space="preserve">OCR / HTR</w:t>
            </w:r>
          </w:p>
        </w:tc>
        <w:tc>
          <w:tcPr>
            <w:tcW w:type="dxa" w:w="2700"/>
          </w:tcPr>
          <w:p>
            <w:pPr>
              <w:spacing w:after="80"/>
            </w:pPr>
            <w:r>
              <w:t>Qwen/Qwen3-VL-8B-Instruct (fallback: microsoft/trocr-base-printed)</w:t>
            </w:r>
          </w:p>
        </w:tc>
        <w:tc>
          <w:tcPr>
            <w:tcW w:type="dxa" w:w="2400"/>
          </w:tcPr>
          <w:p>
            <w:pPr>
              <w:spacing w:after="80"/>
            </w:pPr>
            <w:r>
              <w:t>fp16, device_map auto over 2×T4, page-level, repetition_penalty 1.08, max_dim 1280, structured Markdown/HTML prompt, resumable per-page checkpointing. 6,041 typed blocks / 243,916 words over 765 pages.</w:t>
            </w:r>
          </w:p>
        </w:tc>
        <w:tc>
          <w:tcPr>
            <w:tcW w:type="dxa" w:w="2360"/>
          </w:tcPr>
          <w:p>
            <w:pPr>
              <w:spacing w:after="80"/>
            </w:pPr>
            <w:r>
              <w:t>PRETRAINED, prompt-adapted, not fine-tuned. Fine-tuning with a taxon gazetteer is the A3 step.</w:t>
            </w:r>
          </w:p>
        </w:tc>
      </w:tr>
      <w:tr>
        <w:tc>
          <w:tcPr>
            <w:tcW w:type="dxa" w:w="1900"/>
          </w:tcPr>
          <w:p>
            <w:pPr>
              <w:spacing w:after="80"/>
            </w:pPr>
            <w:r>
              <w:t xml:space="preserve">Chunk</w:t>
            </w:r>
          </w:p>
        </w:tc>
        <w:tc>
          <w:tcPr>
            <w:tcW w:type="dxa" w:w="2700"/>
          </w:tcPr>
          <w:p>
            <w:pPr>
              <w:spacing w:after="80"/>
            </w:pPr>
            <w:r>
              <w:t>structure-aware chunker (ours), index.chunking: structure</w:t>
            </w:r>
          </w:p>
        </w:tc>
        <w:tc>
          <w:tcPr>
            <w:tcW w:type="dxa" w:w="2400"/>
          </w:tcPr>
          <w:p>
            <w:pPr>
              <w:spacing w:after="80"/>
            </w:pPr>
            <w:r>
              <w:t>chunk_tokens 256 · overlap 32 (word-based, so max chunk = 288 by construction) · min_chunk_tokens 4 · table → one chunk per row with the header row carried · prose packed on paragraph bounds under its heading · plate caption+labels → one unit. 2,902 chunks: 1,341 table rows, 97 table headers, 96 figure/plate units, 1,368 prose. Median 27 tokens, p90 238.</w:t>
            </w:r>
          </w:p>
        </w:tc>
        <w:tc>
          <w:tcPr>
            <w:tcW w:type="dxa" w:w="2360"/>
          </w:tcPr>
          <w:p>
            <w:pPr>
              <w:spacing w:after="80"/>
            </w:pPr>
            <w:r>
              <w:t>no model — authored rule set</w:t>
            </w:r>
          </w:p>
        </w:tc>
      </w:tr>
      <w:tr>
        <w:tc>
          <w:tcPr>
            <w:tcW w:type="dxa" w:w="1900"/>
          </w:tcPr>
          <w:p>
            <w:pPr>
              <w:spacing w:after="80"/>
            </w:pPr>
            <w:r>
              <w:t xml:space="preserve">Embed</w:t>
            </w:r>
          </w:p>
        </w:tc>
        <w:tc>
          <w:tcPr>
            <w:tcW w:type="dxa" w:w="2700"/>
          </w:tcPr>
          <w:p>
            <w:pPr>
              <w:spacing w:after="80"/>
            </w:pPr>
            <w:r>
              <w:t>BAAI/bge-small-en-v1.5</w:t>
            </w:r>
          </w:p>
        </w:tc>
        <w:tc>
          <w:tcPr>
            <w:tcW w:type="dxa" w:w="2400"/>
          </w:tcPr>
          <w:p>
            <w:pPr>
              <w:spacing w:after="80"/>
            </w:pPr>
            <w:r>
              <w:t>384-d, batch 64, L2-normalised, query prefix 'Represent this sentence for searching relevant passages: ', vectors cached by a SHA-256 of the chunk texts so a config change that does not touch text is free. 2,902 × 384 float32.</w:t>
            </w:r>
          </w:p>
        </w:tc>
        <w:tc>
          <w:tcPr>
            <w:tcW w:type="dxa" w:w="2360"/>
          </w:tcPr>
          <w:p>
            <w:pPr>
              <w:spacing w:after="80"/>
            </w:pPr>
            <w:r>
              <w:t>PRETRAINED, used as published, not fine-tuned</w:t>
            </w:r>
          </w:p>
        </w:tc>
      </w:tr>
      <w:tr>
        <w:tc>
          <w:tcPr>
            <w:tcW w:type="dxa" w:w="1900"/>
          </w:tcPr>
          <w:p>
            <w:pPr>
              <w:spacing w:after="80"/>
            </w:pPr>
            <w:r>
              <w:t xml:space="preserve">Index</w:t>
            </w:r>
          </w:p>
        </w:tc>
        <w:tc>
          <w:tcPr>
            <w:tcW w:type="dxa" w:w="2700"/>
          </w:tcPr>
          <w:p>
            <w:pPr>
              <w:spacing w:after="80"/>
            </w:pPr>
            <w:r>
              <w:t>FAISS IndexHNSWFlat (faiss:hnsw); faiss:flat and faiss:ivf also implemented</w:t>
            </w:r>
          </w:p>
        </w:tc>
        <w:tc>
          <w:tcPr>
            <w:tcW w:type="dxa" w:w="2400"/>
          </w:tcPr>
          <w:p>
            <w:pPr>
              <w:spacing w:after="80"/>
            </w:pPr>
            <w:r>
              <w:t>M=32 · efConstruction=200 · efSearch=64 · METRIC_INNER_PRODUCT on normalised vectors = cosine. Build 0.1 s. Persisted with chunks.jsonl (so citations resolve without a database) and meta.json (embed checkpoint, dim, index params, reader, layout model, seed, build time).</w:t>
            </w:r>
          </w:p>
        </w:tc>
        <w:tc>
          <w:tcPr>
            <w:tcW w:type="dxa" w:w="2360"/>
          </w:tcPr>
          <w:p>
            <w:pPr>
              <w:spacing w:after="80"/>
            </w:pPr>
            <w:r>
              <w:t>n/a — index structure, not a learned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The pipeline in one line</w:t>
            </w:r>
          </w:p>
          <w:p>
            <w:pPr>
              <w:spacing w:after="80"/>
            </w:pPr>
            <w:r>
              <w:rPr>
                <w:i/>
                <w:iCs/>
                <w:color w:val="595959"/>
                <w:sz w:val="18"/>
                <w:szCs w:val="18"/>
              </w:rPr>
              <w:t xml:space="preserve">pages → clean → (enhance) → layout → OCR → chunk → embed → store. Note anything you changed from the default.</w:t>
            </w:r>
          </w:p>
        </w:tc>
        <w:tc>
          <w:tcPr>
            <w:tcW w:type="dxa" w:w="5860"/>
          </w:tcPr>
          <w:p>
            <w:pPr>
              <w:spacing w:after="80"/>
            </w:pPr>
            <w:r>
              <w:t>pages → measure &amp; clean (conditional deskew, despeckle, Sauvola into a SEPARATE reader image) → (enhance: OFF) → layout (figures masked FIRST, then columns, then blocks, then table grid) → OCR (page-level VLM, structure preserved) → chunk (one unit per table ROW, header carried) → embed (384-d, normalised) → store (FAISS HNSW).</w:t>
              <w:br/>
              <w:t>TWO CHANGES FROM THE DEFAULT DIAGRAM, both forced by the data speciality: (1) figure detection runs BEFORE line finding and before the blank filter — in the default order the blank filter deleted all 96 of our plates, i.e. the pipeline deleted its own data speciality; (2) Stage-2 output feeds the CHUNKER, not only the reader — the recovered table grid is what lets a measurement row survive to the index as a row. The greyscale page is never overwritten: raw, clean and reader images are three separate files, so a citation always crops unaltered pixels.</w:t>
            </w:r>
          </w:p>
        </w:tc>
      </w:tr>
    </w:tbl>
    <w:p>
      <w:pPr>
        <w:pStyle w:val="Heading2"/>
        <w:spacing w:after="100" w:before="240"/>
      </w:pPr>
      <w:r>
        <w:rPr>
          <w:b/>
          <w:bCs/>
          <w:color w:val="1F3864"/>
          <w:sz w:val="26"/>
          <w:szCs w:val="26"/>
        </w:rPr>
        <w:t xml:space="preserve">Section 5 — Evidence It Works</w:t>
      </w:r>
    </w:p>
    <w:p>
      <w:pPr>
        <w:spacing w:after="100"/>
      </w:pPr>
      <w:r>
        <w:rPr>
          <w:i/>
          <w:iCs/>
          <w:color w:val="595959"/>
          <w:sz w:val="18"/>
          <w:szCs w:val="18"/>
        </w:rPr>
        <w:t xml:space="preserve">A build milestone needs proof, not promises. Show real numbers and one real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OCR quality on a sample</w:t>
            </w:r>
          </w:p>
          <w:p>
            <w:pPr>
              <w:spacing w:after="80"/>
            </w:pPr>
            <w:r>
              <w:rPr>
                <w:i/>
                <w:iCs/>
                <w:color w:val="595959"/>
                <w:sz w:val="18"/>
                <w:szCs w:val="18"/>
              </w:rPr>
              <w:t xml:space="preserve">measure reading quality on a labelled sample (character/word error rate, or F1). State the number and the sample size.</w:t>
            </w:r>
          </w:p>
        </w:tc>
        <w:tc>
          <w:tcPr>
            <w:tcW w:type="dxa" w:w="5860"/>
          </w:tcPr>
          <w:p>
            <w:pPr>
              <w:spacing w:after="80"/>
            </w:pPr>
            <w:r>
              <w:t>GOLD: an independent second reader (Gemini 3 Flash — different vendor and architecture from our Qwen3-VL reader), team-adjudicated against the page images. BASELINE TO BEAT: the Internet Archive OCR text layer embedded in the very PDFs we ingest — published, widely used, and page-aligned by construction. All numbers from notebooks/kb_demo.ipynb §2.</w:t>
              <w:br/>
              <w:t>CORPUS-WIDE, all 777 non-empty pages (1,426,845 gold characters): ours CER 6.20%, WER 11.70%, char-F1 98.09%. Baseline CER 8.65%, WER 14.74%, char-F1 97.11%.</w:t>
              <w:br/>
              <w:t>HELD-OUT SLICE, 16 pages / 27,076 gold characters, never used to tune any threshold (the 17 calibration pages are excluded BY NAME): ours micro CER 9.18%, WER 11.45%, char-F1 97.52%; baseline CER 11.11%, char-F1 94.80%. Excluding plates (whose 10–70-word gold makes CER unstable): ours CER 8.82%, char-F1 97.73%.</w:t>
              <w:br/>
              <w:t>THE RESULT THAT MATTERS IS THE SLICE, NOT THE AVERAGE. By content kind — prose 4.85% vs 5.88% (+1.0 pt), TABLES 12.93% vs 21.59% (+8.7 pts), PLATES 13.30% vs 35.29% (+22.0 pts). Our whole advantage sits on exactly the two page types we declared as our data speciality and nowhere else. By scan-quality band — clean 4.89% vs 5.11%, faint 7.83% vs 12.43%, skewed 5.45% vs 18.89%, noisy 22.05% vs 41.89%: char-F1 RETENTION clean→noisy is 0.933 for us against 0.807 for the baseline, i.e. the reading-stage version of our A3 answer-F1 retention target (≥0.90).</w:t>
              <w:br/>
              <w:t>HONEST CAVEAT: the oracle is itself a model, so absolute numbers are biased upward. The test that a shared-VLM-style effect does not explain the result: a style effect is uniform across page types; ours runs from +1.0 on prose to +22.0 on plates.</w:t>
            </w:r>
          </w:p>
        </w:tc>
      </w:tr>
      <w:tr>
        <w:tc>
          <w:tcPr>
            <w:tcW w:type="dxa" w:w="3500"/>
            <w:shd w:fill="F2F2F2" w:val="clear"/>
          </w:tcPr>
          <w:p>
            <w:pPr>
              <w:spacing w:after="80"/>
            </w:pPr>
            <w:r>
              <w:rPr>
                <w:b/>
                <w:bCs/>
              </w:rPr>
              <w:t xml:space="preserve">Index statistics</w:t>
            </w:r>
          </w:p>
          <w:p>
            <w:pPr>
              <w:spacing w:after="80"/>
            </w:pPr>
            <w:r>
              <w:rPr>
                <w:i/>
                <w:iCs/>
                <w:color w:val="595959"/>
                <w:sz w:val="18"/>
                <w:szCs w:val="18"/>
              </w:rPr>
              <w:t xml:space="preserve">chunks indexed, embedding dimension, index type, corpus coverage (pages/words indexed vs total).</w:t>
            </w:r>
          </w:p>
        </w:tc>
        <w:tc>
          <w:tcPr>
            <w:tcW w:type="dxa" w:w="5860"/>
          </w:tcPr>
          <w:p>
            <w:pPr>
              <w:spacing w:after="80"/>
            </w:pPr>
            <w:r>
              <w:t>2,902 chunks · 384-d · FAISS HNSW (M=32, efConstruction=200, efSearch=64), inner product on L2-normalised vectors = cosine · index build 0.1 s.</w:t>
              <w:br/>
              <w:t>Chunk mix: 1,341 table rows, 97 table headers, 96 figure/plate units, 1,368 prose/heading. Length p10 14 / median 27 / p90 238 / max 288 tokens — bimodal by design (a table row is ~22 tokens, a prose window ~200).</w:t>
              <w:br/>
              <w:t>COVERAGE: 765 of 904 rasterised pages carry at least one chunk (84.6%); the remaining 139 are the blank versos, endpapers and scan artefacts Stage 1 drops. 100% of non-blank pages are indexed, all 4 volumes, 269,956 words in the index (higher than the 240,893 read, because the header row is carried onto every table row). 3,626 layout regions behind them.</w:t>
              <w:br/>
              <w:t>HNSW is approximate, so we measured it rather than assuming: recall@1 = 0.889 against exact flat search, recall@5 = recall@10 = 1.000.</w:t>
            </w:r>
          </w:p>
        </w:tc>
      </w:tr>
      <w:tr>
        <w:tc>
          <w:tcPr>
            <w:tcW w:type="dxa" w:w="3500"/>
            <w:shd w:fill="F2F2F2" w:val="clear"/>
          </w:tcPr>
          <w:p>
            <w:pPr>
              <w:spacing w:after="80"/>
            </w:pPr>
            <w:r>
              <w:rPr>
                <w:b/>
                <w:bCs/>
              </w:rPr>
              <w:t xml:space="preserve">One retrieval example</w:t>
            </w:r>
          </w:p>
          <w:p>
            <w:pPr>
              <w:spacing w:after="80"/>
            </w:pPr>
            <w:r>
              <w:rPr>
                <w:i/>
                <w:iCs/>
                <w:color w:val="595959"/>
                <w:sz w:val="18"/>
                <w:szCs w:val="18"/>
              </w:rPr>
              <w:t xml:space="preserve">a real query, the top chunk returned, and whether it's the right page. Show one that worked.</w:t>
            </w:r>
          </w:p>
        </w:tc>
        <w:tc>
          <w:tcPr>
            <w:tcW w:type="dxa" w:w="5860"/>
          </w:tcPr>
          <w:p>
            <w:pPr>
              <w:spacing w:after="80"/>
            </w:pPr>
            <w:r>
              <w:t>QUERY: 'length of the series of upper true molars of Oreodon, in inches and lines' — a measurement lookup, which is what our user actually asks.</w:t>
              <w:br/>
              <w:t>TOP CHUNK: leidy_1853_p0061_c002, cosine 0.846 — 'TABLE HEADER: Length of series of upper true molars | Inches. Lines.'</w:t>
              <w:br/>
              <w:t>TOP 5, all from Leidy 1853 and all measurement rows/headers for the same taxon: p.61 (0.846), p.55 (0.846), p.53 (0.802), p.60 (0.800), p.56 (0.799).</w:t>
              <w:br/>
              <w:t>THE ANSWER-BEARING ROW, rank 3: leidy_1853_p0053 — 'TABLE ROW under [Inches. | Lines.]: Length of series of upper true molars | 1 | 11'. It arrives carrying its own header, so the number cannot be read under the wrong column. That is the entire reason table rows are chunked this way.</w:t>
              <w:br/>
              <w:t>RIGHT PAGE? YES — verified in kb_demo.ipynb §5a against the ground-truth transcription of the raw page (not against our own index): Leidy 1853 p.53 prints '| Length of series of upper true molars | 1 | 11 |'. The notebook also renders the page image with the Stage-2 table regions boxed.</w:t>
            </w:r>
          </w:p>
        </w:tc>
      </w:tr>
      <w:tr>
        <w:tc>
          <w:tcPr>
            <w:tcW w:type="dxa" w:w="3500"/>
            <w:shd w:fill="F2F2F2" w:val="clear"/>
          </w:tcPr>
          <w:p>
            <w:pPr>
              <w:spacing w:after="80"/>
            </w:pPr>
            <w:r>
              <w:rPr>
                <w:b/>
                <w:bCs/>
              </w:rPr>
              <w:t xml:space="preserve">The worst failure we saw</w:t>
            </w:r>
          </w:p>
          <w:p>
            <w:pPr>
              <w:spacing w:after="80"/>
            </w:pPr>
            <w:r>
              <w:rPr>
                <w:i/>
                <w:iCs/>
                <w:color w:val="595959"/>
                <w:sz w:val="18"/>
                <w:szCs w:val="18"/>
              </w:rPr>
              <w:t xml:space="preserve">where reading or retrieval failed badly, and your read on why (honest — this shapes A3).</w:t>
            </w:r>
          </w:p>
        </w:tc>
        <w:tc>
          <w:tcPr>
            <w:tcW w:type="dxa" w:w="5860"/>
          </w:tcPr>
          <w:p>
            <w:pPr>
              <w:spacing w:after="80"/>
            </w:pPr>
            <w:r>
              <w:t>A RETRIEVAL failure, and it is a direct cost of our own declared bonus. Query: 'which animal is quarry number 42 in diagram 1 of Quarry 13?'. Gold: Gilmore 1914 p.24, row '| 42 | Ischium, right | Stegosaurus | Cat. No. 7356. |'. Top-1 is p.40 (WRONG); gold page appears at rank 3; the top five scores span 0.011 (0.737 → 0.726).</w:t>
              <w:br/>
              <w:t>WHY: Gilmore prints the SAME four-column quarry table fourteen times, once per diagram, with identical headers and running numbers. Chunk-per-row turns each of those rows into a separate near-identical document, and the one distinguishing token — 'diagram 1' — lives in the CAPTION, which is a different chunk. A bi-encoder has nothing left to separate them with.</w:t>
              <w:br/>
              <w:t>WE DID NOT FIX IT, ON PURPOSE. Both remedies are small — carry the caption/table id on the row the way we already carry the header, and rerank with a cross-encoder. We found this by inspecting one page, so fixing it now would mean tuning against a page we had just looked at and reporting a number about that page. Both fixes are in the A3 plan, where a task suite exists to measure them.</w:t>
              <w:br/>
              <w:t>SECOND FAILURE, on reading: gilmore_1914_p0069 scores 97.3% char-F1 but 36.3% CER — nearly every character present, in the wrong ORDER. That is a reading-order failure on a page mixing a table with prose: Stage 2 computes column-first reading order, but on the page-cache fast path that order only TYPES the blocks, it does not re-order them. First thing to fix in A3.</w:t>
              <w:br/>
              <w:t>THIRD, a metric artefact we report rather than hide: leidy_1853_p0151 shows CER 73.5% and char-F1 96.3% on 10 gold words. On a plate, CER is dominated by its own denominator — which is why held-out results are reported with and without plates and char-F1 sits beside CER.</w:t>
            </w:r>
          </w:p>
        </w:tc>
      </w:tr>
    </w:tbl>
    <w:p>
      <w:pPr>
        <w:pStyle w:val="Heading2"/>
        <w:spacing w:after="100" w:before="240"/>
      </w:pPr>
      <w:r>
        <w:rPr>
          <w:b/>
          <w:bCs/>
          <w:color w:val="1F3864"/>
          <w:sz w:val="26"/>
          <w:szCs w:val="26"/>
        </w:rPr>
        <w:t xml:space="preserve">Section 6 — The Plan for A3</w:t>
      </w:r>
    </w:p>
    <w:p>
      <w:pPr>
        <w:spacing w:after="100"/>
      </w:pPr>
      <w:r>
        <w:rPr>
          <w:i/>
          <w:iCs/>
          <w:color w:val="595959"/>
          <w:sz w:val="18"/>
          <w:szCs w:val="18"/>
        </w:rPr>
        <w:t xml:space="preserve">What's left: turn the knowledge base into an answering agent, then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What we'll build next</w:t>
            </w:r>
          </w:p>
          <w:p>
            <w:pPr>
              <w:spacing w:after="80"/>
            </w:pPr>
            <w:r>
              <w:rPr>
                <w:i/>
                <w:iCs/>
                <w:color w:val="595959"/>
                <w:sz w:val="18"/>
                <w:szCs w:val="18"/>
              </w:rPr>
              <w:t xml:space="preserve">retrieval + rerank, the agent loop + tools, guardrails/HITL, grounding, evaluation — and RL/RLVR if you attempt the bonus.</w:t>
            </w:r>
          </w:p>
          <w:p>
            <w:r>
              <w:t xml:space="preserve">Carry the agent forward: in A3 it must do evidence-gated re-search (widen k on weak evidence, abstain at k_max) — the mandatory agentic behaviour, graded fail-closed in A3.</w:t>
            </w:r>
          </w:p>
        </w:tc>
        <w:tc>
          <w:tcPr>
            <w:tcW w:type="dxa" w:w="5860"/>
          </w:tcPr>
          <w:p>
            <w:pPr>
              <w:spacing w:after="80"/>
            </w:pPr>
            <w:r>
              <w:t>1. retrieval/retriever.py — hybrid dense + BM25 with reciprocal-rank fusion (our measured failure is exactly the case dense-only cannot handle), then bge-reranker-base over the top 50.</w:t>
              <w:br/>
              <w:t>2. The chunking fix the failure implies: carry the table caption / table id onto each row chunk, alongside the header row it already carries.</w:t>
              <w:br/>
              <w:t>3. agent/agent.py — decide/act/synthesize, with the MANDATORY evidence-gated re-search: if top_score &lt; retrieve.weak_threshold (0.35) widen k by k_step (10) and retrieve again; abstain once k would exceed k_max (40). Our A2 out-of-corpus probe already shows the score signal is meaningful — an unanswerable medical query tops out at 0.533 against 0.85–0.92 for answerable ones. Our failure case also shows a second trigger worth implementing: a flat score SPREAD (top-5 within 0.011) means weak evidence even when the absolute score is high.</w:t>
              <w:br/>
              <w:t>4. agent/tools.py (all nine), llm/client.py + prompts.py, memory.py.</w:t>
              <w:br/>
              <w:t>5. llm/postprocess.py grounding gate wired to BEFORE_ANSWER; logging_conf.register emitting traces/run.jsonl.</w:t>
              <w:br/>
              <w:t>6. eval/metrics.py (OCR-F1, recall@k, groundedness, citation accuracy, subgroup gap) and eval/ablation.py; eval/robustness.py for the NFR — the perturbation suite, retention, worst-slice and false-answer rate.</w:t>
              <w:br/>
              <w:t>7. Reading-order fix on the page-cache path (see Section 5).</w:t>
              <w:br/>
              <w:t>DROPPED FROM THE A1 PLAN, on evidence: orthography/ligature normalisation. A1 predicted an 80.9% ligature penalty; measured against OUR reader it is 97.9%, no worse than controls (eda.ipynb §4). A1 had measured the Internet Archive's OCR, not ours. That effort moves to the structural failures instead.</w:t>
            </w:r>
          </w:p>
        </w:tc>
      </w:tr>
      <w:tr>
        <w:tc>
          <w:tcPr>
            <w:tcW w:type="dxa" w:w="3500"/>
            <w:shd w:fill="F2F2F2" w:val="clear"/>
          </w:tcPr>
          <w:p>
            <w:pPr>
              <w:spacing w:after="80"/>
            </w:pPr>
            <w:r>
              <w:rPr>
                <w:b/>
                <w:bCs/>
              </w:rPr>
              <w:t xml:space="preserve">Our evaluation set</w:t>
            </w:r>
          </w:p>
          <w:p>
            <w:pPr>
              <w:spacing w:after="80"/>
            </w:pPr>
            <w:r>
              <w:rPr>
                <w:i/>
                <w:iCs/>
                <w:color w:val="595959"/>
                <w:sz w:val="18"/>
                <w:szCs w:val="18"/>
              </w:rPr>
              <w:t xml:space="preserve">how you'll write tasks.jsonl for YOUR domain — the questions your real user would ask; include enough checkable (verifiable) items and abstention cases.</w:t>
            </w:r>
          </w:p>
        </w:tc>
        <w:tc>
          <w:tcPr>
            <w:tcW w:type="dxa" w:w="5860"/>
          </w:tcPr>
          <w:p>
            <w:pPr>
              <w:spacing w:after="80"/>
            </w:pPr>
            <w:r>
              <w:t>~120 items in grading_kit/tasks.jsonl, written the way our curator asks and weighted toward the data speciality: ~30 measurement lookups (must land on the right table ROW under the right header), ~25 plate/figure identifications (need the plate AND its legend, which in Gilmore is printed on a different leaf), ~20 taxonomy/synonymy, ~15 cross-volume comparisons, ~20 deliberately UNANSWERABLE (a genus in none of the four volumes — success is abstaining), ~10 adversarial spellings taken from our reader's own corruptions.</w:t>
              <w:br/>
              <w:t>Verifiable share ≥ 60%: gold is a short span (a number with a unit, a taxon name, a plate and figure number) plus gold chunk_ids and bboxes, so success_check.py is mechanical. The 20 unanswerable items are verifiable too.</w:t>
              <w:br/>
              <w:t>REQUIRED PAIR: at least one {needs_research: true} / {needs_research: false} pair — the trigger is a question whose answer is NOT on the top chunk (our quarry-table case is a ready-made one), the control is answerable in a single pass.</w:t>
              <w:br/>
              <w:t>Gold pages come from the test volume plus grading_kit/heldout_pages/, which were set aside before indexing and exclude the 17 threshold-calibration pages by name. Every item is also run against perturbed renders of its gold pages so retention is measured, not asserted.</w:t>
            </w:r>
          </w:p>
        </w:tc>
      </w:tr>
      <w:tr>
        <w:tc>
          <w:tcPr>
            <w:tcW w:type="dxa" w:w="3500"/>
            <w:shd w:fill="F2F2F2" w:val="clear"/>
          </w:tcPr>
          <w:p>
            <w:pPr>
              <w:spacing w:after="80"/>
            </w:pPr>
            <w:r>
              <w:rPr>
                <w:b/>
                <w:bCs/>
              </w:rPr>
              <w:t xml:space="preserve">Biggest risk / unknown</w:t>
            </w:r>
          </w:p>
          <w:p>
            <w:pPr>
              <w:spacing w:after="80"/>
            </w:pPr>
            <w:r>
              <w:rPr>
                <w:i/>
                <w:iCs/>
                <w:color w:val="595959"/>
                <w:sz w:val="18"/>
                <w:szCs w:val="18"/>
              </w:rPr>
              <w:t xml:space="preserve">the thing most likely to break in A3, and your first idea to handle it.</w:t>
            </w:r>
          </w:p>
        </w:tc>
        <w:tc>
          <w:tcPr>
            <w:tcW w:type="dxa" w:w="5860"/>
          </w:tcPr>
          <w:p>
            <w:pPr>
              <w:spacing w:after="80"/>
            </w:pPr>
            <w:r>
              <w:t>BIGGEST RISK: near-identical table rows. It is not a hypothetical — we measured it in A2 (Section 5). Our chunking makes each row of Gilmore's fourteen-times-repeated quarry table a separate near-identical document, and the bi-encoder puts the top five within 0.011 of each other. In A3 that becomes the wrong-column / wrong-specimen error, which is the most dangerous failure this corpus admits because it looks completely correct.</w:t>
              <w:br/>
              <w:t>FIRST IDEA, in order: (1) carry the caption/table id on the row chunk — restores the distinguishing token at zero retrieval cost; (2) cross-encoder rerank over the top 50, which is precisely the tool for candidates whose bi-encoder scores cluster; (3) make the grounding gate refuse to emit a NUMERIC claim unless the row's header chunk was also retrieved, so a value cannot be lifted out of its column even if retrieval ranks badly; (4) treat a flat score spread as weak evidence and let it trigger re-search, not just a low absolute score.</w:t>
              <w:br/>
              <w:t>SECOND RISK: our gold labels are model-produced. 16 hand-transcribed pages would remove the strongest caveat in this form and is one day of work.</w:t>
            </w:r>
          </w:p>
        </w:tc>
      </w:tr>
    </w:tbl>
    <w:p>
      <w:pPr>
        <w:pStyle w:val="Heading2"/>
        <w:spacing w:after="100" w:before="240"/>
      </w:pPr>
      <w:r>
        <w:rPr>
          <w:b/>
          <w:bCs/>
          <w:color w:val="1F3864"/>
          <w:sz w:val="26"/>
          <w:szCs w:val="26"/>
        </w:rPr>
        <w:t xml:space="preserve">Section 7 — Design Choices &amp; Justification (knowledge-base stages)</w:t>
      </w:r>
    </w:p>
    <w:p>
      <w:pPr>
        <w:spacing w:after="100"/>
      </w:pPr>
      <w:r>
        <w:t xml:space="preserve">Extend the eight-facet table to the stages you built (Stages 1–4). This is the graded design artifact (</w:t>
      </w:r>
      <w:r>
        <w:rPr>
          <w:i/>
          <w:iCs/>
          <w:color w:val="595959"/>
          <w:sz w:val="18"/>
          <w:szCs w:val="18"/>
        </w:rPr>
        <w:t xml:space="preserve">configs/design_choices.md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val="clear"/>
          </w:tcPr>
          <w:p>
            <w:pPr>
              <w:spacing w:after="80"/>
            </w:pPr>
            <w:r>
              <w:rPr>
                <w:b/>
                <w:bCs/>
                <w:color w:val="FFFFFF"/>
              </w:rPr>
              <w:t xml:space="preserve">Facet</w:t>
            </w:r>
          </w:p>
        </w:tc>
        <w:tc>
          <w:tcPr>
            <w:tcW w:type="dxa" w:w="3400"/>
            <w:shd w:fill="1F3864" w:val="clear"/>
          </w:tcPr>
          <w:p>
            <w:pPr>
              <w:spacing w:after="80"/>
            </w:pPr>
            <w:r>
              <w:rPr>
                <w:b/>
                <w:bCs/>
                <w:color w:val="FFFFFF"/>
              </w:rPr>
              <w:t xml:space="preserve">Our choice across the knowledge-base stages</w:t>
            </w:r>
          </w:p>
        </w:tc>
        <w:tc>
          <w:tcPr>
            <w:tcW w:type="dxa" w:w="3760"/>
            <w:shd w:fill="1F3864" w:val="clear"/>
          </w:tcPr>
          <w:p>
            <w:pPr>
              <w:spacing w:after="80"/>
            </w:pPr>
            <w:r>
              <w:rPr>
                <w:b/>
                <w:bCs/>
                <w:color w:val="FFFFFF"/>
              </w:rPr>
              <w:t xml:space="preserve">Why — fits our corpus · what it costs · what would change it</w:t>
            </w:r>
          </w:p>
        </w:tc>
      </w:tr>
      <w:tr>
        <w:tc>
          <w:tcPr>
            <w:tcW w:type="dxa" w:w="2200"/>
          </w:tcPr>
          <w:p>
            <w:pPr>
              <w:spacing w:after="80"/>
            </w:pPr>
            <w:r>
              <w:t xml:space="preserve">Problem statement</w:t>
            </w:r>
          </w:p>
        </w:tc>
        <w:tc>
          <w:tcPr>
            <w:tcW w:type="dxa" w:w="3400"/>
          </w:tcPr>
          <w:p>
            <w:pPr>
              <w:spacing w:after="80"/>
            </w:pPr>
            <w:r>
              <w:t>Stages 1–4 must turn 4 licensed PDFs into a searchable index in which the retrieval unit is the thing a curator asks about — a table row, a plate legend, a paragraph. Stage success metric: reading quality against an independent oracle, reported per content kind and per quality band, never pooled. Achieved: corpus-wide CER 6.20% / char-F1 98.09%; 765 pages and 2,902 chunks indexed; 100% of non-blank pages covered.</w:t>
            </w:r>
          </w:p>
        </w:tc>
        <w:tc>
          <w:tcPr>
            <w:tcW w:type="dxa" w:w="3760"/>
          </w:tcPr>
          <w:p>
            <w:pPr>
              <w:spacing w:after="80"/>
            </w:pPr>
            <w:r>
              <w:t>WHY: the answer-F1 target in A3 is unreachable if the reading stage loses the tables and plates, because that is where the answers are. COST: the ingest and layout work consumed most of A2 and produced no user-visible feature. WHAT WOULD CHANGE IT: a corpus of clean modern text, where this whole front half collapses into a text-extraction call.</w:t>
            </w:r>
          </w:p>
        </w:tc>
      </w:tr>
      <w:tr>
        <w:tc>
          <w:tcPr>
            <w:tcW w:type="dxa" w:w="2200"/>
          </w:tcPr>
          <w:p>
            <w:pPr>
              <w:spacing w:after="80"/>
            </w:pPr>
            <w:r>
              <w:t xml:space="preserve">Data</w:t>
            </w:r>
          </w:p>
        </w:tc>
        <w:tc>
          <w:tcPr>
            <w:tcW w:type="dxa" w:w="3400"/>
          </w:tcPr>
          <w:p>
            <w:pPr>
              <w:spacing w:after="80"/>
            </w:pPr>
            <w:r>
              <w:t>In: 4 volumes, 904 page images, 240,893 words, 52.5 MB, corpus_64f400d6 (content-addressed). Out: 765 indexed pages / 3,626 regions / 2,902 chunks. Split by DOCUMENT — train lucas_1901 + gilmore_1914 (558 pp), val colbert_1945 (164), test leidy_1853 (182). Labels here are DERIVED, not hand-made (page_kind from ink geometry, quality_band from contrast/skew/speckle); the only hand-adjudicated labels are the 16 held-out transcriptions.</w:t>
            </w:r>
          </w:p>
        </w:tc>
        <w:tc>
          <w:tcPr>
            <w:tcW w:type="dxa" w:w="3760"/>
          </w:tcPr>
          <w:p>
            <w:pPr>
              <w:spacing w:after="80"/>
            </w:pPr>
            <w:r>
              <w:t>WHY: Leidy is the test split because it is the worst case on every axis we measured — faintest ink (σ 0.108), 72% of its kept pages in the `faint` band, 22 plates. Testing robustness on the cleanest volume would prove nothing. COST: a 182-page test set makes per-slice numbers noisy, and split is confounded with subject matter (this is why we report per-volume AND per-page-kind, never one number). WHAT WOULD CHANGE IT: two more volumes would let us hold out a second test document and de-confound quality from subject.</w:t>
            </w:r>
          </w:p>
        </w:tc>
      </w:tr>
      <w:tr>
        <w:tc>
          <w:tcPr>
            <w:tcW w:type="dxa" w:w="2200"/>
          </w:tcPr>
          <w:p>
            <w:pPr>
              <w:spacing w:after="80"/>
            </w:pPr>
            <w:r>
              <w:t xml:space="preserve">Model</w:t>
            </w:r>
          </w:p>
        </w:tc>
        <w:tc>
          <w:tcPr>
            <w:tcW w:type="dxa" w:w="3400"/>
          </w:tcPr>
          <w:p>
            <w:pPr>
              <w:spacing w:after="80"/>
            </w:pPr>
            <w:r>
              <w:t>Stage 1 none (classical CV). Stage 2 none (heuristic:rlsa-cc-grid). Stage 3 Qwen/Qwen3-VL-8B-Instruct, pretrained, prompt-adapted. Stage 4 BAAI/bge-small-en-v1.5 (384-d) + FAISS HNSW.</w:t>
            </w:r>
          </w:p>
        </w:tc>
        <w:tc>
          <w:tcPr>
            <w:tcW w:type="dxa" w:w="3760"/>
          </w:tcPr>
          <w:p>
            <w:pPr>
              <w:spacing w:after="80"/>
            </w:pPr>
            <w:r>
              <w:t>WHY: two stages use no trained model at all because we measured the defect before buying a cure — 1.0% of text pages exceed the deskew gate, so generative repair would invent pixels on 99% of the corpus, and DocLayNet-pretrained layout has no class for an 1853 plate. The one big model sits where the actual difficulty is: reading structured pages. COST: the heuristic over-fires on numbered lists; the small encoder is untested against BGE-M3 and we do not claim it is better. WHAT WOULD CHANGE IT: hand-labelled regions (→ fine-tune a detector), or reading quality on the faint volume trailing the clean one by &gt;10 points (→ enhancement). Neither condition is currently met.</w:t>
            </w:r>
          </w:p>
        </w:tc>
      </w:tr>
      <w:tr>
        <w:tc>
          <w:tcPr>
            <w:tcW w:type="dxa" w:w="2200"/>
          </w:tcPr>
          <w:p>
            <w:pPr>
              <w:spacing w:after="80"/>
            </w:pPr>
            <w:r>
              <w:t xml:space="preserve">Methods</w:t>
            </w:r>
          </w:p>
        </w:tc>
        <w:tc>
          <w:tcPr>
            <w:tcW w:type="dxa" w:w="3400"/>
          </w:tcPr>
          <w:p>
            <w:pPr>
              <w:spacing w:after="80"/>
            </w:pPr>
            <w:r>
              <w:t>Deskew: maximise horizontal projection-profile variance over −3…+3° at 0.25°, apply only &gt;0.5°, never on a plate. Despeckle ≤2 px with a 3 px proximity rule, plates exempt. Sauvola 31/0.34 into a separate reader image. Table iff ≥3 rows AND ≥60% gapped rows AND fill ≤0.55. Figure iff ≥5% page area AND ≥10% ink after close(15)+open(9) on greyscale. Chunk 256/32 word-based overlap. Embed L2-normalised, batch 64. HNSW M=32/efC=200/efS=64. No training.</w:t>
            </w:r>
          </w:p>
        </w:tc>
        <w:tc>
          <w:tcPr>
            <w:tcW w:type="dxa" w:w="3760"/>
          </w:tcPr>
          <w:p>
            <w:pPr>
              <w:spacing w:after="80"/>
            </w:pPr>
            <w:r>
              <w:t>WHY EACH NUMBER: 0.5° because 99% of text pages sit below it; 2 px because that is where this corpus's speckle mass is; the Otsu floor of 45 grey levels because Otsu reports 40% ink on a BLANK leaf (it always returns a split, even with one class); fill ≤0.55 because prose fills 0.58–0.74 of its own span here and table rows 0.25–0.54. COST: nine hand-set constants that could overfit four volumes. WHAT WOULD CHANGE IT: a volume with a materially different skew or type distribution would force per-document fitting rather than global.</w:t>
            </w:r>
          </w:p>
        </w:tc>
      </w:tr>
      <w:tr>
        <w:tc>
          <w:tcPr>
            <w:tcW w:type="dxa" w:w="2200"/>
          </w:tcPr>
          <w:p>
            <w:pPr>
              <w:spacing w:after="80"/>
            </w:pPr>
            <w:r>
              <w:t xml:space="preserve">Design</w:t>
            </w:r>
          </w:p>
        </w:tc>
        <w:tc>
          <w:tcPr>
            <w:tcW w:type="dxa" w:w="3400"/>
          </w:tcPr>
          <w:p>
            <w:pPr>
              <w:spacing w:after="80"/>
            </w:pPr>
            <w:r>
              <w:t>loader → list[Page] + pages.jsonl (split assigned HERE and nowhere else). preprocess → list[Page] + pages_meta.jsonl (kind, band, skew raw &amp; applied, contrast, separation, speckle, three image paths). layout → list[Region] in reading order + regions.jsonl (reading_order, column_idx, bbox_norm, table grid). ocr → list[Chunk], block kind prefixed on the text. chunk → embed → store → data/index/{index.faiss, chunks.jsonl, meta.json}.</w:t>
            </w:r>
          </w:p>
        </w:tc>
        <w:tc>
          <w:tcPr>
            <w:tcW w:type="dxa" w:w="3760"/>
          </w:tcPr>
          <w:p>
            <w:pPr>
              <w:spacing w:after="80"/>
            </w:pPr>
            <w:r>
              <w:t>WHY: contracts.Page is locked to 3 fields and contracts.Region to 3, so everything the speciality needs travels in JSONL side-tables keyed by page_id. That is deliberate, not a workaround — it keeps the locked contracts locked while making the corpus-specific work first-class and inspectable on disk. The greyscale page is never overwritten (raw / clean / reader are three files) so a citation always crops unaltered pixels, and A3's enhance_page tool runs the identical code path as offline ingest. COST: ~2× page-image storage and four manifests to keep in step. WHAT WOULD CHANGE IT: if the contracts gained fields, the side tables would collapse into them.</w:t>
            </w:r>
          </w:p>
        </w:tc>
      </w:tr>
      <w:tr>
        <w:tc>
          <w:tcPr>
            <w:tcW w:type="dxa" w:w="2200"/>
          </w:tcPr>
          <w:p>
            <w:pPr>
              <w:spacing w:after="80"/>
            </w:pPr>
            <w:r>
              <w:t xml:space="preserve">Development</w:t>
            </w:r>
          </w:p>
        </w:tc>
        <w:tc>
          <w:tcPr>
            <w:tcW w:type="dxa" w:w="3400"/>
          </w:tcPr>
          <w:p>
            <w:pPr>
              <w:spacing w:after="80"/>
            </w:pPr>
            <w:r>
              <w:t>configs/config.yaml is the only place models and parameters are set; code reads nothing else. Tests: ruff + black clean on the stages we wrote, pytest structure/contracts/tools gates green (8 passed, 12 skipped A3/A4 placeholders). data/validate.py asserts the ≥300-page / ≥60k-word floors, unique page ids, existing images, and that doc_id → split is a FUNCTION. Both notebooks execute top to bottom and are committed with outputs.</w:t>
            </w:r>
          </w:p>
        </w:tc>
        <w:tc>
          <w:tcPr>
            <w:tcW w:type="dxa" w:w="3760"/>
          </w:tcPr>
          <w:p>
            <w:pPr>
              <w:spacing w:after="80"/>
            </w:pPr>
            <w:r>
              <w:t>WHY: our realistic failures are silent ones — a split leak, a quietly deleted plate, a chunker that drifts past its own token budget. None raises an exception, so each is an explicit assertion or a printed distribution. The 17 threshold-calibration pages are excluded from the held-out slice BY NAME for the same reason. COST: the checks took about as long to write as the stages. WHAT WOULD CHANGE IT: nothing; we would add checks before removing any.</w:t>
            </w:r>
          </w:p>
        </w:tc>
      </w:tr>
      <w:tr>
        <w:tc>
          <w:tcPr>
            <w:tcW w:type="dxa" w:w="2200"/>
          </w:tcPr>
          <w:p>
            <w:pPr>
              <w:spacing w:after="80"/>
            </w:pPr>
            <w:r>
              <w:t xml:space="preserve">Deployment</w:t>
            </w:r>
          </w:p>
        </w:tc>
        <w:tc>
          <w:tcPr>
            <w:tcW w:type="dxa" w:w="3400"/>
          </w:tcPr>
          <w:p>
            <w:pPr>
              <w:spacing w:after="80"/>
            </w:pPr>
            <w:r>
              <w:t>Offline batch, CPU, one command (scripts/build_index.sh): ~10 min rasterise + ~4 min preprocess + ~1 min layout + cached OCR replay + ~3 min embed + 0.1 s index, on a laptop. Every stage caches to disk, so a re-run only redoes what changed. Peak memory ~2 GB; the whole vector set is ~4.5 MB and memory-resident. Stage 3's GPU run (2×T4, fp16) is the one step that is not laptop-reproducible; its per-page output is the durable artefact.</w:t>
            </w:r>
          </w:p>
        </w:tc>
        <w:tc>
          <w:tcPr>
            <w:tcW w:type="dxa" w:w="3760"/>
          </w:tcPr>
          <w:p>
            <w:pPr>
              <w:spacing w:after="80"/>
            </w:pPr>
            <w:r>
              <w:t>WHY: the corpus is static, so pre-computing keeps query latency for the stages that need it, and CPU rebuildability is what makes the notebooks reproducible evidence rather than screenshots. COST: any threshold change means a re-ingest (~15 min). WHAT WOULD CHANGE IT: a growing or user-uploaded corpus would force incremental per-document ingest, which is what optional/stream_ingest.py exists for.</w:t>
            </w:r>
          </w:p>
        </w:tc>
      </w:tr>
      <w:tr>
        <w:tc>
          <w:tcPr>
            <w:tcW w:type="dxa" w:w="2200"/>
          </w:tcPr>
          <w:p>
            <w:pPr>
              <w:spacing w:after="80"/>
            </w:pPr>
            <w:r>
              <w:t xml:space="preserve">MLOps</w:t>
            </w:r>
          </w:p>
        </w:tc>
        <w:tc>
          <w:tcPr>
            <w:tcW w:type="dxa" w:w="3400"/>
          </w:tcPr>
          <w:p>
            <w:pPr>
              <w:spacing w:after="80"/>
            </w:pPr>
            <w:r>
              <w:t>Corpus versioned by content hash (corpus_64f400d6) from data/versioning.py, pinned per-file by SHA-256 in data/provenance.md and verified by scripts/get_data.sh --verify. Every index carries meta.json: embed checkpoint, dim, index params, chunking mode, reader, layout model, seed, build time. Vectors cached by a hash of the chunk texts. Monitor: per-volume and per-band distributions of contrast, skew and reading quality; kept-page count; the retention number.</w:t>
            </w:r>
          </w:p>
        </w:tc>
        <w:tc>
          <w:tcPr>
            <w:tcW w:type="dxa" w:w="3760"/>
          </w:tcPr>
          <w:p>
            <w:pPr>
              <w:spacing w:after="80"/>
            </w:pPr>
            <w:r>
              <w:t>WHY: A3's gold labels will point at chunk_ids, so an unversioned re-ingest would silently invalidate the evaluation set — the quietest and most expensive way to lose a milestone. Content-addressing means the id changes if and only if the bytes change, so nobody has to remember to bump it. COST: bookkeeping discipline and four manifests. WHAT WOULD CHANGE IT: at 100k pages the manifests move into a proper artefact store.</w:t>
            </w:r>
          </w:p>
        </w:tc>
      </w:tr>
    </w:tbl>
    <w:p>
      <w:pPr>
        <w:pStyle w:val="Heading2"/>
        <w:spacing w:after="100" w:before="240"/>
      </w:pPr>
      <w:r>
        <w:rPr>
          <w:b/>
          <w:bCs/>
          <w:color w:val="1F3864"/>
          <w:sz w:val="26"/>
          <w:szCs w:val="26"/>
        </w:rPr>
        <w:t xml:space="preserve">Section 8 — How We Worked With AI</w:t>
      </w:r>
    </w:p>
    <w:p>
      <w:pPr>
        <w:spacing w:after="100"/>
      </w:pPr>
      <w:r>
        <w:t xml:space="preserve">One transcript per team member. Each member submits one plain-text file named exactly </w:t>
      </w:r>
      <w:r>
        <w:rPr>
          <w:i/>
          <w:iCs/>
          <w:color w:val="595959"/>
          <w:sz w:val="18"/>
          <w:szCs w:val="18"/>
        </w:rPr>
        <w:t xml:space="preserve">&lt;their student number&gt;.txt</w:t>
      </w:r>
      <w:r>
        <w:t xml:space="preserve">, containing the full AI conversation behind the sections they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Pr>
          <w:p>
            <w:pPr>
              <w:spacing w:after="80"/>
            </w:pPr>
            <w:r>
              <w:rPr>
                <w:b/>
                <w:bCs/>
                <w:color w:val="FFFFFF"/>
              </w:rPr>
              <w:t xml:space="preserve">Each .txt file must contain</w:t>
            </w:r>
          </w:p>
        </w:tc>
        <w:tc>
          <w:tcPr>
            <w:tcW w:type="dxa" w:w="5960"/>
            <w:shd w:fill="1F3864" w:val="clear"/>
          </w:tcPr>
          <w:p>
            <w:pPr>
              <w:spacing w:after="80"/>
            </w:pPr>
            <w:r>
              <w:rPr>
                <w:b/>
                <w:bCs/>
                <w:color w:val="FFFFFF"/>
              </w:rPr>
              <w:t xml:space="preserve">In this order</w:t>
            </w:r>
          </w:p>
        </w:tc>
      </w:tr>
      <w:tr>
        <w:tc>
          <w:tcPr>
            <w:tcW w:type="dxa" w:w="3400"/>
          </w:tcPr>
          <w:p>
            <w:pPr>
              <w:spacing w:after="80"/>
            </w:pPr>
            <w:r>
              <w:t xml:space="preserve">Header</w:t>
            </w:r>
          </w:p>
        </w:tc>
        <w:tc>
          <w:tcPr>
            <w:tcW w:type="dxa" w:w="5960"/>
          </w:tcPr>
          <w:p>
            <w:pPr>
              <w:spacing w:after="80"/>
            </w:pPr>
            <w:r>
              <w:rPr>
                <w:i/>
                <w:iCs/>
                <w:color w:val="595959"/>
                <w:sz w:val="18"/>
                <w:szCs w:val="18"/>
              </w:rPr>
              <w:t xml:space="preserve">member name, student number, sections led</w:t>
            </w:r>
          </w:p>
        </w:tc>
      </w:tr>
      <w:tr>
        <w:tc>
          <w:tcPr>
            <w:tcW w:type="dxa" w:w="3400"/>
          </w:tcPr>
          <w:p>
            <w:pPr>
              <w:spacing w:after="80"/>
            </w:pPr>
            <w:r>
              <w:t xml:space="preserve">The full conversation</w:t>
            </w:r>
          </w:p>
        </w:tc>
        <w:tc>
          <w:tcPr>
            <w:tcW w:type="dxa" w:w="5960"/>
          </w:tcPr>
          <w:p>
            <w:pPr>
              <w:spacing w:after="80"/>
            </w:pPr>
            <w:r>
              <w:rPr>
                <w:i/>
                <w:iCs/>
                <w:color w:val="595959"/>
                <w:sz w:val="18"/>
                <w:szCs w:val="18"/>
              </w:rPr>
              <w:t xml:space="preserve">every prompt and every AI reply, unedited</w:t>
            </w:r>
          </w:p>
        </w:tc>
      </w:tr>
      <w:tr>
        <w:tc>
          <w:tcPr>
            <w:tcW w:type="dxa" w:w="3400"/>
          </w:tcPr>
          <w:p>
            <w:pPr>
              <w:spacing w:after="80"/>
            </w:pPr>
            <w:r>
              <w:t xml:space="preserve">A short reflection</w:t>
            </w:r>
          </w:p>
        </w:tc>
        <w:tc>
          <w:tcPr>
            <w:tcW w:type="dxa" w:w="5960"/>
          </w:tcPr>
          <w:p>
            <w:pPr>
              <w:spacing w:after="80"/>
            </w:pPr>
            <w:r>
              <w:rPr>
                <w:i/>
                <w:iCs/>
                <w:color w:val="595959"/>
                <w:sz w:val="18"/>
                <w:szCs w:val="18"/>
              </w:rPr>
              <w:t xml:space="preserve">what you accepted, changed, or rejected, and why</w:t>
            </w:r>
          </w:p>
        </w:tc>
      </w:tr>
    </w:tbl>
    <w:p>
      <w:pPr>
        <w:pStyle w:val="Heading2"/>
        <w:spacing w:after="100" w:before="240"/>
      </w:pPr>
      <w:r>
        <w:rPr>
          <w:b/>
          <w:bCs/>
          <w:color w:val="1F3864"/>
          <w:sz w:val="26"/>
          <w:szCs w:val="26"/>
        </w:rPr>
        <w:t xml:space="preserve">Submission — Required Folder Structure</w:t>
      </w:r>
    </w:p>
    <w:p>
      <w:pPr>
        <w:spacing w:after="100"/>
      </w:pPr>
      <w:r>
        <w:t xml:space="preserve">The autograder enforces this exactly. ZIP named </w:t>
      </w:r>
      <w:r>
        <w:rPr>
          <w:i/>
          <w:iCs/>
          <w:color w:val="595959"/>
          <w:sz w:val="18"/>
          <w:szCs w:val="18"/>
        </w:rPr>
        <w:t xml:space="preserve">A2_&lt;your team id&gt;.zip</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Pr>
          <w:p>
            <w:pPr>
              <w:spacing w:after="80"/>
            </w:pPr>
            <w:r>
              <w:rPr>
                <w:b/>
                <w:bCs/>
                <w:color w:val="FFFFFF"/>
              </w:rPr>
              <w:t xml:space="preserve">Path</w:t>
            </w:r>
          </w:p>
        </w:tc>
        <w:tc>
          <w:tcPr>
            <w:tcW w:type="dxa" w:w="5560"/>
            <w:shd w:fill="1F3864" w:val="clear"/>
          </w:tcPr>
          <w:p>
            <w:pPr>
              <w:spacing w:after="80"/>
            </w:pPr>
            <w:r>
              <w:rPr>
                <w:b/>
                <w:bCs/>
                <w:color w:val="FFFFFF"/>
              </w:rPr>
              <w:t xml:space="preserve">What it is</w:t>
            </w:r>
          </w:p>
        </w:tc>
      </w:tr>
      <w:tr>
        <w:tc>
          <w:tcPr>
            <w:tcW w:type="dxa" w:w="3800"/>
          </w:tcPr>
          <w:p>
            <w:pPr>
              <w:spacing w:after="80"/>
            </w:pPr>
            <w:r>
              <w:t xml:space="preserve">A2_form.docx</w:t>
            </w:r>
          </w:p>
        </w:tc>
        <w:tc>
          <w:tcPr>
            <w:tcW w:type="dxa" w:w="5560"/>
          </w:tcPr>
          <w:p>
            <w:pPr>
              <w:spacing w:after="80"/>
            </w:pPr>
            <w:r>
              <w:t xml:space="preserve">this filled form</w:t>
            </w:r>
          </w:p>
        </w:tc>
      </w:tr>
      <w:tr>
        <w:tc>
          <w:tcPr>
            <w:tcW w:type="dxa" w:w="3800"/>
          </w:tcPr>
          <w:p>
            <w:pPr>
              <w:spacing w:after="80"/>
            </w:pPr>
            <w:r>
              <w:t xml:space="preserve">src/doc_agent/  (ingest, vision, index)</w:t>
            </w:r>
          </w:p>
        </w:tc>
        <w:tc>
          <w:tcPr>
            <w:tcW w:type="dxa" w:w="5560"/>
          </w:tcPr>
          <w:p>
            <w:pPr>
              <w:spacing w:after="80"/>
            </w:pPr>
            <w:r>
              <w:t xml:space="preserve">the implemented knowledge-base stages</w:t>
            </w:r>
          </w:p>
        </w:tc>
      </w:tr>
      <w:tr>
        <w:tc>
          <w:tcPr>
            <w:tcW w:type="dxa" w:w="3800"/>
          </w:tcPr>
          <w:p>
            <w:pPr>
              <w:spacing w:after="80"/>
            </w:pPr>
            <w:r>
              <w:t xml:space="preserve">scripts/build_index.sh</w:t>
            </w:r>
          </w:p>
        </w:tc>
        <w:tc>
          <w:tcPr>
            <w:tcW w:type="dxa" w:w="5560"/>
          </w:tcPr>
          <w:p>
            <w:pPr>
              <w:spacing w:after="80"/>
            </w:pPr>
            <w:r>
              <w:t xml:space="preserve">builds the vector index (edit the stub)</w:t>
            </w:r>
          </w:p>
        </w:tc>
      </w:tr>
      <w:tr>
        <w:tc>
          <w:tcPr>
            <w:tcW w:type="dxa" w:w="3800"/>
          </w:tcPr>
          <w:p>
            <w:pPr>
              <w:spacing w:after="80"/>
            </w:pPr>
            <w:r>
              <w:t xml:space="preserve">notebooks/kb_demo.ipynb</w:t>
            </w:r>
          </w:p>
        </w:tc>
        <w:tc>
          <w:tcPr>
            <w:tcW w:type="dxa" w:w="5560"/>
          </w:tcPr>
          <w:p>
            <w:pPr>
              <w:spacing w:after="80"/>
            </w:pPr>
            <w:r>
              <w:t xml:space="preserve">OCR quality + one retrieval example (edit the stub)</w:t>
            </w:r>
          </w:p>
        </w:tc>
      </w:tr>
      <w:tr>
        <w:tc>
          <w:tcPr>
            <w:tcW w:type="dxa" w:w="3800"/>
          </w:tcPr>
          <w:p>
            <w:pPr>
              <w:spacing w:after="80"/>
            </w:pPr>
            <w:r>
              <w:t xml:space="preserve">reports/pipeline_diagram.md</w:t>
            </w:r>
          </w:p>
        </w:tc>
        <w:tc>
          <w:tcPr>
            <w:tcW w:type="dxa" w:w="5560"/>
          </w:tcPr>
          <w:p>
            <w:pPr>
              <w:spacing w:after="80"/>
            </w:pPr>
            <w:r>
              <w:t xml:space="preserve">a diagram of the knowledge-base pipeline (edit the stub)</w:t>
            </w:r>
          </w:p>
        </w:tc>
      </w:tr>
      <w:tr>
        <w:tc>
          <w:tcPr>
            <w:tcW w:type="dxa" w:w="3800"/>
          </w:tcPr>
          <w:p>
            <w:pPr>
              <w:spacing w:after="80"/>
            </w:pPr>
            <w:r>
              <w:t xml:space="preserve">configs/design_choices.md</w:t>
            </w:r>
          </w:p>
        </w:tc>
        <w:tc>
          <w:tcPr>
            <w:tcW w:type="dxa" w:w="5560"/>
          </w:tcPr>
          <w:p>
            <w:pPr>
              <w:spacing w:after="80"/>
            </w:pPr>
            <w:r>
              <w:t xml:space="preserve">updated with Stages 1–4</w:t>
            </w:r>
          </w:p>
        </w:tc>
      </w:tr>
      <w:tr>
        <w:tc>
          <w:tcPr>
            <w:tcW w:type="dxa" w:w="3800"/>
          </w:tcPr>
          <w:p>
            <w:pPr>
              <w:spacing w:after="80"/>
            </w:pPr>
            <w:r>
              <w:t xml:space="preserve">transcripts/&lt;student number&gt;.txt  ×3</w:t>
            </w:r>
          </w:p>
        </w:tc>
        <w:tc>
          <w:tcPr>
            <w:tcW w:type="dxa" w:w="5560"/>
          </w:tcPr>
          <w:p>
            <w:pPr>
              <w:spacing w:after="80"/>
            </w:pPr>
            <w:r>
              <w:t xml:space="preserve">one AI-chat transcript per member</w:t>
            </w:r>
          </w:p>
        </w:tc>
      </w:tr>
    </w:tbl>
    <w:p>
      <w:pPr>
        <w:pStyle w:val="Heading2"/>
        <w:spacing w:after="100" w:before="240"/>
      </w:pPr>
      <w:r>
        <w:rPr>
          <w:b/>
          <w:bCs/>
          <w:color w:val="1F3864"/>
          <w:sz w:val="26"/>
          <w:szCs w:val="26"/>
        </w:rPr>
        <w:t xml:space="preserve">How You'll Be Graded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Grounding gate: </w:t>
            </w:r>
            <w:r>
              <w:t xml:space="preserve">every claim in the form must match your own code, index, and notebook outputs. Numbers with no notebook evidence score zero for that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Pr>
          <w:p>
            <w:pPr>
              <w:spacing w:after="80"/>
            </w:pPr>
            <w:r>
              <w:rPr>
                <w:b/>
                <w:bCs/>
                <w:color w:val="FFFFFF"/>
              </w:rPr>
              <w:t xml:space="preserve">What we assess</w:t>
            </w:r>
          </w:p>
        </w:tc>
        <w:tc>
          <w:tcPr>
            <w:tcW w:type="dxa" w:w="2000"/>
            <w:shd w:fill="1F3864" w:val="clear"/>
          </w:tcPr>
          <w:p>
            <w:pPr>
              <w:spacing w:after="80"/>
            </w:pPr>
            <w:r>
              <w:rPr>
                <w:b/>
                <w:bCs/>
                <w:color w:val="FFFFFF"/>
              </w:rPr>
              <w:t xml:space="preserve">Points</w:t>
            </w:r>
          </w:p>
        </w:tc>
      </w:tr>
      <w:tr>
        <w:tc>
          <w:tcPr>
            <w:tcW w:type="dxa" w:w="7360"/>
          </w:tcPr>
          <w:p>
            <w:pPr>
              <w:spacing w:after="80"/>
            </w:pPr>
            <w:r>
              <w:t xml:space="preserve">Section 1 — recap accurate and consistent with A1</w:t>
            </w:r>
          </w:p>
        </w:tc>
        <w:tc>
          <w:tcPr>
            <w:tcW w:type="dxa" w:w="2000"/>
          </w:tcPr>
          <w:p>
            <w:pPr>
              <w:spacing w:after="80"/>
            </w:pPr>
            <w:r>
              <w:t xml:space="preserve">5</w:t>
            </w:r>
          </w:p>
        </w:tc>
      </w:tr>
      <w:tr>
        <w:tc>
          <w:tcPr>
            <w:tcW w:type="dxa" w:w="7360"/>
          </w:tcPr>
          <w:p>
            <w:pPr>
              <w:spacing w:after="80"/>
            </w:pPr>
            <w:r>
              <w:t xml:space="preserve">Section 2 — structure and invariances identified correctly</w:t>
            </w:r>
          </w:p>
        </w:tc>
        <w:tc>
          <w:tcPr>
            <w:tcW w:type="dxa" w:w="2000"/>
          </w:tcPr>
          <w:p>
            <w:pPr>
              <w:spacing w:after="80"/>
            </w:pPr>
            <w:r>
              <w:t xml:space="preserve">10</w:t>
            </w:r>
          </w:p>
        </w:tc>
      </w:tr>
      <w:tr>
        <w:tc>
          <w:tcPr>
            <w:tcW w:type="dxa" w:w="7360"/>
          </w:tcPr>
          <w:p>
            <w:pPr>
              <w:spacing w:after="80"/>
            </w:pPr>
            <w:r>
              <w:t xml:space="preserve">Section 3 — options compared, with ≥1 reproduced published/pretrained method</w:t>
            </w:r>
          </w:p>
        </w:tc>
        <w:tc>
          <w:tcPr>
            <w:tcW w:type="dxa" w:w="2000"/>
          </w:tcPr>
          <w:p>
            <w:pPr>
              <w:spacing w:after="80"/>
            </w:pPr>
            <w:r>
              <w:t xml:space="preserve">20</w:t>
            </w:r>
          </w:p>
        </w:tc>
      </w:tr>
      <w:tr>
        <w:tc>
          <w:tcPr>
            <w:tcW w:type="dxa" w:w="7360"/>
          </w:tcPr>
          <w:p>
            <w:pPr>
              <w:spacing w:after="80"/>
            </w:pPr>
            <w:r>
              <w:t xml:space="preserve">Section 4 — knowledge base built; models and parameters justified</w:t>
            </w:r>
          </w:p>
        </w:tc>
        <w:tc>
          <w:tcPr>
            <w:tcW w:type="dxa" w:w="2000"/>
          </w:tcPr>
          <w:p>
            <w:pPr>
              <w:spacing w:after="80"/>
            </w:pPr>
            <w:r>
              <w:t xml:space="preserve">20</w:t>
            </w:r>
          </w:p>
        </w:tc>
      </w:tr>
      <w:tr>
        <w:tc>
          <w:tcPr>
            <w:tcW w:type="dxa" w:w="7360"/>
          </w:tcPr>
          <w:p>
            <w:pPr>
              <w:spacing w:after="80"/>
            </w:pPr>
            <w:r>
              <w:t xml:space="preserve">Section 5 — real evidence: OCR quality + a working retrieval</w:t>
            </w:r>
          </w:p>
        </w:tc>
        <w:tc>
          <w:tcPr>
            <w:tcW w:type="dxa" w:w="2000"/>
          </w:tcPr>
          <w:p>
            <w:pPr>
              <w:spacing w:after="80"/>
            </w:pPr>
            <w:r>
              <w:t xml:space="preserve">25</w:t>
            </w:r>
          </w:p>
        </w:tc>
      </w:tr>
      <w:tr>
        <w:tc>
          <w:tcPr>
            <w:tcW w:type="dxa" w:w="7360"/>
          </w:tcPr>
          <w:p>
            <w:pPr>
              <w:spacing w:after="80"/>
            </w:pPr>
            <w:r>
              <w:t xml:space="preserve">Section 6 — a concrete, sensible plan for A3</w:t>
            </w:r>
          </w:p>
        </w:tc>
        <w:tc>
          <w:tcPr>
            <w:tcW w:type="dxa" w:w="2000"/>
          </w:tcPr>
          <w:p>
            <w:pPr>
              <w:spacing w:after="80"/>
            </w:pPr>
            <w:r>
              <w:t xml:space="preserve">5</w:t>
            </w:r>
          </w:p>
        </w:tc>
      </w:tr>
      <w:tr>
        <w:tc>
          <w:tcPr>
            <w:tcW w:type="dxa" w:w="7360"/>
          </w:tcPr>
          <w:p>
            <w:pPr>
              <w:spacing w:after="80"/>
            </w:pPr>
            <w:r>
              <w:t xml:space="preserve">Section 7 — eight-facet design table for Stages 1–4</w:t>
            </w:r>
          </w:p>
        </w:tc>
        <w:tc>
          <w:tcPr>
            <w:tcW w:type="dxa" w:w="2000"/>
          </w:tcPr>
          <w:p>
            <w:pPr>
              <w:spacing w:after="80"/>
            </w:pPr>
            <w:r>
              <w:t xml:space="preserve">10</w:t>
            </w:r>
          </w:p>
        </w:tc>
      </w:tr>
      <w:tr>
        <w:tc>
          <w:tcPr>
            <w:tcW w:type="dxa" w:w="7360"/>
          </w:tcPr>
          <w:p>
            <w:pPr>
              <w:spacing w:after="80"/>
            </w:pPr>
            <w:r>
              <w:t xml:space="preserve">Section 8 + submission structure correct</w:t>
            </w:r>
          </w:p>
        </w:tc>
        <w:tc>
          <w:tcPr>
            <w:tcW w:type="dxa" w:w="2000"/>
          </w:tcPr>
          <w:p>
            <w:pPr>
              <w:spacing w:after="80"/>
            </w:pPr>
            <w:r>
              <w:t xml:space="preserve">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2026-07-04T23:56:32.641Z</dcterms:modified>
</cp:coreProperties>
</file>

<file path=docProps/custom.xml><?xml version="1.0" encoding="utf-8"?>
<Properties xmlns="http://schemas.openxmlformats.org/officeDocument/2006/custom-properties" xmlns:vt="http://schemas.openxmlformats.org/officeDocument/2006/docPropsVTypes"/>
</file>