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Write 5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EDMS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Enterprise Document Management System (EDMS) should be a robust, scalable platform designed to streamline document storage, retrieval, sharing, and collaboration across the organization. It must support secure role-based access, enabling users to upload, search, and manage documents while maintaining strict access controls. The EDMS should include version control, audit trails, and full-text search capabilities to facilitate quick retrieval of documents. Integration with third-party applications, including ERP, CRM, and cloud storage services, is essential to provide seamless document handling across business processes. The system should be capable of handling various document formats, support metadata tagging, and offer advanced workflow automation to drive efficiency in document approval, review, and retention policies. Compliance with industry standards and regulatory requirements for data privacy and security is critical. Additionally, the EDMS must provide a user-friendly interface for ease of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eLearning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eLearning System should be a comprehensive, scalable platform designed to deliver, manage, and track educational content for learners in various settings, including corporate training, schools, and universities. The system must support a wide range of content formats such as video, audio, documents, quizzes, and interactive modules, allowing for rich multimedia learning experiences. Key features should include customizable user roles, progress tracking, assessments, and certifications to ensure learners meet educational goals. It should offer flexible learning paths, supporting both self-paced and instructor-led courses with live virtual classrooms and discussion forums to facilitate collaboration. Integration with external tools like video conferencing, cloud storage, and Learning Management Systems (LMS) is essential for a cohesive learning experience. Mobile accessibility is crucial for learning on-the-go, along with detailed analytics for administrators and instructors to monitor progress and optimize learning outcomes. Additionally, the platform must be secure, ensuring data privacy and compliance with relevant education standards and regulations.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