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DOCX fidelity benchmark</w:t>
      </w:r>
    </w:p>
    <w:p>
      <w:pPr>
        <w:spacing w:after="240"/>
      </w:pPr>
      <w:r>
        <w:rPr>
          <w:rFonts w:ascii="Arial" w:hAnsi="Arial"/>
        </w:rPr>
        <w:t xml:space="preserve">Normal, </w:t>
      </w:r>
      <w:r>
        <w:rPr>
          <w:b/>
          <w:color w:val="C80000"/>
          <w:sz w:val="28"/>
        </w:rPr>
        <w:t>bold red</w:t>
      </w:r>
      <w:r>
        <w:rPr>
          <w:i/>
          <w:color w:val="0046B4"/>
        </w:rPr>
        <w:t>, italic blue</w:t>
      </w:r>
      <w:r>
        <w:rPr>
          <w:u w:val="single"/>
        </w:rPr>
        <w:t>, and underlined.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5616"/>
      </w:tblGrid>
      <w:tr>
        <w:trPr>
          <w:trHeight w:val="490"/>
        </w:trPr>
        <w:tc>
          <w:tcPr>
            <w:tcW w:type="dxa" w:w="9460"/>
            <w:gridSpan w:val="2"/>
            <w:shd w:fill="D9EAF7" w:val="clear"/>
            <w:tcBorders>
              <w:top w:val="single" w:sz="8" w:color="4472C4"/>
              <w:left w:val="single" w:sz="8" w:color="4472C4"/>
              <w:bottom w:val="single" w:sz="8" w:color="4472C4"/>
              <w:right w:val="single" w:sz="8" w:color="4472C4"/>
            </w:tcBorders>
          </w:tcPr>
          <w:p>
            <w:r>
              <w:t>Merged heading</w:t>
            </w:r>
          </w:p>
        </w:tc>
      </w:tr>
      <w:tr>
        <w:trPr>
          <w:trHeight w:val="490"/>
        </w:trPr>
        <w:tc>
          <w:tcPr>
            <w:tcW w:type="dxa" w:w="4730"/>
            <w:vAlign w:val="center"/>
            <w:shd w:fill="FFF2CC" w:val="clear"/>
            <w:tcBorders>
              <w:top w:val="single" w:sz="8" w:color="4472C4"/>
              <w:left w:val="single" w:sz="8" w:color="4472C4"/>
              <w:bottom w:val="single" w:sz="8" w:color="4472C4"/>
              <w:right w:val="single" w:sz="8" w:color="4472C4"/>
            </w:tcBorders>
          </w:tcPr>
          <w:p>
            <w:r>
              <w:t>Shaded label</w:t>
            </w:r>
          </w:p>
        </w:tc>
        <w:tc>
          <w:tcPr>
            <w:tcW w:type="dxa" w:w="4730"/>
            <w:tcBorders>
              <w:top w:val="single" w:sz="8" w:color="4472C4"/>
              <w:left w:val="single" w:sz="8" w:color="4472C4"/>
              <w:bottom w:val="single" w:sz="8" w:color="4472C4"/>
              <w:right w:val="single" w:sz="8" w:color="4472C4"/>
            </w:tcBorders>
          </w:tcPr>
          <w:p>
            <w:r>
              <w:t>Value</w:t>
            </w:r>
          </w:p>
        </w:tc>
      </w:tr>
      <w:tr>
        <w:trPr>
          <w:trHeight w:val="490"/>
        </w:trPr>
        <w:tc>
          <w:tcPr>
            <w:tcW w:type="dxa" w:w="4730"/>
            <w:tcBorders>
              <w:top w:val="single" w:sz="8" w:color="4472C4"/>
              <w:left w:val="single" w:sz="8" w:color="4472C4"/>
              <w:bottom w:val="single" w:sz="8" w:color="4472C4"/>
              <w:right w:val="single" w:sz="8" w:color="4472C4"/>
            </w:tcBorders>
          </w:tcPr>
          <w:p>
            <w:r>
              <w:t>Bordered</w:t>
            </w:r>
          </w:p>
        </w:tc>
        <w:tc>
          <w:tcPr>
            <w:tcW w:type="dxa" w:w="4730"/>
            <w:tcBorders>
              <w:top w:val="single" w:sz="8" w:color="4472C4"/>
              <w:left w:val="single" w:sz="8" w:color="4472C4"/>
              <w:bottom w:val="single" w:sz="8" w:color="4472C4"/>
              <w:right w:val="single" w:sz="8" w:color="4472C4"/>
            </w:tcBorders>
          </w:tcPr>
          <w:p>
            <w:r>
              <w:t>42</w:t>
            </w:r>
          </w:p>
        </w:tc>
      </w:tr>
    </w:tbl>
    <w:p>
      <w:r>
        <w:t xml:space="preserve">Inline image: </w:t>
      </w:r>
      <w:r>
        <w:drawing>
          <wp:inline xmlns:a="http://schemas.openxmlformats.org/drawingml/2006/main" xmlns:pic="http://schemas.openxmlformats.org/drawingml/2006/picture">
            <wp:extent cx="274320" cy="27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Equation: </w:t>
      </w:r>
      <m:oMath>
        <m:r>
          <m:t>x+y=3</m:t>
        </m:r>
      </m:oMath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9" w:h="16834"/>
      <w:pgMar w:top="1152" w:right="1224" w:bottom="1152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Benchmark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Standard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First-page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fidelity benchmark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