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杂化泛函使用教程</w:t>
      </w:r>
    </w:p>
    <w:p>
      <w:pPr>
        <w:pStyle w:val="1"/>
        <w:spacing w:before="380" w:after="140" w:line="288" w:lineRule="auto"/>
        <w:ind w:left="0"/>
        <w:jc w:val="left"/>
        <w:outlineLvl w:val="0"/>
      </w:pPr>
      <w:bookmarkStart w:name="heading_0" w:id="0"/>
      <w:r>
        <w:rPr>
          <w:rFonts w:eastAsia="等线" w:ascii="Arial" w:cs="Arial" w:hAnsi="Arial"/>
          <w:b w:val="true"/>
          <w:sz w:val="36"/>
        </w:rPr>
        <w:t>安装</w:t>
      </w:r>
      <w:bookmarkEnd w:id="0"/>
    </w:p>
    <w:p>
      <w:pPr>
        <w:spacing w:before="120" w:after="120" w:line="288" w:lineRule="auto"/>
        <w:ind w:left="0"/>
        <w:jc w:val="left"/>
      </w:pPr>
      <w:r>
        <w:rPr>
          <w:rFonts w:eastAsia="等线" w:ascii="Arial" w:cs="Arial" w:hAnsi="Arial"/>
          <w:sz w:val="22"/>
        </w:rPr>
        <w:t>进行杂化泛函计算，在安装 ABACUS 时需包含库 Libxc、LibRI、LibComm，否则运行时会报错如</w:t>
      </w:r>
    </w:p>
    <w:p>
      <w:pPr>
        <w:spacing w:before="120" w:after="120" w:line="288" w:lineRule="auto"/>
        <w:ind w:left="0"/>
        <w:jc w:val="left"/>
      </w:pPr>
      <w:r>
        <w:rPr>
          <w:rFonts w:eastAsia="等线" w:ascii="Arial" w:cs="Arial" w:hAnsi="Arial"/>
          <w:sz w:val="22"/>
        </w:rPr>
        <w:t>“Unrecognized exchange-correlation functional 'HSE'.”</w:t>
      </w:r>
    </w:p>
    <w:p>
      <w:pPr>
        <w:spacing w:before="120" w:after="120" w:line="288" w:lineRule="auto"/>
        <w:ind w:left="0"/>
        <w:jc w:val="left"/>
      </w:pPr>
      <w:r>
        <w:rPr>
          <w:rFonts w:eastAsia="等线" w:ascii="Arial" w:cs="Arial" w:hAnsi="Arial"/>
          <w:sz w:val="22"/>
        </w:rPr>
        <w:t>或</w:t>
      </w:r>
    </w:p>
    <w:p>
      <w:pPr>
        <w:spacing w:before="120" w:after="120" w:line="288" w:lineRule="auto"/>
        <w:ind w:left="0"/>
        <w:jc w:val="left"/>
      </w:pPr>
      <w:r>
        <w:rPr>
          <w:rFonts w:eastAsia="等线" w:ascii="Arial" w:cs="Arial" w:hAnsi="Arial"/>
          <w:sz w:val="22"/>
        </w:rPr>
        <w:t>“compile with libri to use hybrid functional in lcao basis”</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计算</w:t>
      </w:r>
      <w:bookmarkEnd w:id="1"/>
    </w:p>
    <w:p>
      <w:pPr>
        <w:spacing w:before="120" w:after="120" w:line="288" w:lineRule="auto"/>
        <w:ind w:left="0"/>
        <w:jc w:val="left"/>
      </w:pPr>
      <w:r>
        <w:rPr>
          <w:rFonts w:eastAsia="等线" w:ascii="Arial" w:cs="Arial" w:hAnsi="Arial"/>
          <w:sz w:val="22"/>
        </w:rPr>
        <w:t xml:space="preserve">使用杂化泛函计算，在 INPUT 文件中设置泛函名，如 </w:t>
      </w:r>
      <w:r>
        <w:rPr>
          <w:rFonts w:eastAsia="Consolas" w:ascii="Consolas" w:cs="Consolas" w:hAnsi="Consolas"/>
          <w:sz w:val="22"/>
          <w:shd w:fill="EFF0F1"/>
        </w:rPr>
        <w:t>dft_functional  HSE</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泛函系数</w:t>
      </w:r>
      <w:bookmarkEnd w:id="2"/>
    </w:p>
    <w:p>
      <w:pPr>
        <w:spacing w:before="120" w:after="120" w:line="288" w:lineRule="auto"/>
        <w:ind w:left="0"/>
        <w:jc w:val="left"/>
      </w:pPr>
      <w:r>
        <w:rPr>
          <w:rFonts w:eastAsia="等线" w:ascii="Arial" w:cs="Arial" w:hAnsi="Arial"/>
          <w:sz w:val="22"/>
        </w:rPr>
        <w:t>杂化泛函的 exact-exchange（简称 EXX）项，库伦势形式为</w:t>
      </w:r>
    </w:p>
    <w:p>
      <w:pPr>
        <w:spacing w:before="120" w:after="120" w:line="288" w:lineRule="auto"/>
        <w:ind w:left="0"/>
        <w:jc w:val="center"/>
      </w:pPr>
      <w:r>
        <w:drawing>
          <wp:inline distT="0" distR="0" distB="0" distL="0">
            <wp:extent cx="2486025" cy="666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2486025" cy="666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对应 INPUT 中的三个参数 </w:t>
      </w:r>
      <w:r>
        <w:rPr>
          <w:rFonts w:eastAsia="Consolas" w:ascii="Consolas" w:cs="Consolas" w:hAnsi="Consolas"/>
          <w:sz w:val="22"/>
          <w:shd w:fill="EFF0F1"/>
        </w:rPr>
        <w:t>exx_fock_alpha</w:t>
      </w:r>
      <w:r>
        <w:rPr>
          <w:rFonts w:eastAsia="等线" w:ascii="Arial" w:cs="Arial" w:hAnsi="Arial"/>
          <w:sz w:val="22"/>
        </w:rPr>
        <w:t>、</w:t>
      </w:r>
      <w:r>
        <w:rPr>
          <w:rFonts w:eastAsia="Consolas" w:ascii="Consolas" w:cs="Consolas" w:hAnsi="Consolas"/>
          <w:sz w:val="22"/>
          <w:shd w:fill="EFF0F1"/>
        </w:rPr>
        <w:t>exx_erfc_alpha</w:t>
      </w:r>
      <w:r>
        <w:rPr>
          <w:rFonts w:eastAsia="等线" w:ascii="Arial" w:cs="Arial" w:hAnsi="Arial"/>
          <w:sz w:val="22"/>
        </w:rPr>
        <w:t>、</w:t>
      </w:r>
      <w:r>
        <w:rPr>
          <w:rFonts w:eastAsia="Consolas" w:ascii="Consolas" w:cs="Consolas" w:hAnsi="Consolas"/>
          <w:sz w:val="22"/>
          <w:shd w:fill="EFF0F1"/>
        </w:rPr>
        <w:t>exx_erfc_omega</w:t>
      </w:r>
      <w:r>
        <w:rPr>
          <w:rFonts w:eastAsia="等线" w:ascii="Arial" w:cs="Arial" w:hAnsi="Arial"/>
          <w:sz w:val="22"/>
        </w:rPr>
        <w:t>。</w:t>
      </w:r>
    </w:p>
    <w:p>
      <w:pPr>
        <w:spacing w:before="120" w:after="120" w:line="288" w:lineRule="auto"/>
        <w:ind w:left="0"/>
        <w:jc w:val="left"/>
      </w:pPr>
      <w:r>
        <w:rPr>
          <w:rFonts w:eastAsia="等线" w:ascii="Arial" w:cs="Arial" w:hAnsi="Arial"/>
          <w:sz w:val="22"/>
        </w:rPr>
        <w:t>在</w:t>
      </w:r>
      <w:r>
        <w:rPr>
          <w:rFonts w:eastAsia="Consolas" w:ascii="Consolas" w:cs="Consolas" w:hAnsi="Consolas"/>
          <w:sz w:val="22"/>
          <w:shd w:fill="EFF0F1"/>
        </w:rPr>
        <w:t>dft_functional</w:t>
      </w:r>
      <w:r>
        <w:rPr>
          <w:rFonts w:eastAsia="等线" w:ascii="Arial" w:cs="Arial" w:hAnsi="Arial"/>
          <w:sz w:val="22"/>
        </w:rPr>
        <w:t>设置泛函名，则可自动设置这三个参数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20"/>
        <w:gridCol w:w="1785"/>
        <w:gridCol w:w="1785"/>
        <w:gridCol w:w="1905"/>
      </w:tblGrid>
      <w:tr>
        <w:tc>
          <w:tcPr>
            <w:tcW w:w="1620" w:type="dxa"/>
            <w:tcMar>
              <w:top w:type="dxa" w:w="60"/>
              <w:left w:type="dxa" w:w="120"/>
              <w:bottom w:type="dxa" w:w="30"/>
              <w:right w:type="dxa" w:w="120"/>
            </w:tcMar>
          </w:tcPr>
          <w:p>
            <w:pPr>
              <w:spacing w:before="120" w:after="120" w:line="288" w:lineRule="auto"/>
              <w:ind w:left="0"/>
              <w:jc w:val="left"/>
            </w:pPr>
            <w:hyperlink r:id="rId5">
              <w:r>
                <w:rPr>
                  <w:rFonts w:eastAsia="等线" w:ascii="Arial" w:cs="Arial" w:hAnsi="Arial"/>
                  <w:color w:val="3370ff"/>
                  <w:sz w:val="22"/>
                </w:rPr>
                <w:t>dft_functional</w:t>
              </w:r>
            </w:hyperlink>
          </w:p>
        </w:tc>
        <w:tc>
          <w:tcPr>
            <w:tcW w:w="1785" w:type="dxa"/>
            <w:tcMar>
              <w:top w:type="dxa" w:w="60"/>
              <w:left w:type="dxa" w:w="120"/>
              <w:bottom w:type="dxa" w:w="30"/>
              <w:right w:type="dxa" w:w="120"/>
            </w:tcMar>
          </w:tcPr>
          <w:p>
            <w:pPr>
              <w:spacing w:before="120" w:after="120" w:line="288" w:lineRule="auto"/>
              <w:ind w:left="0"/>
              <w:jc w:val="left"/>
            </w:pPr>
            <w:hyperlink r:id="rId6">
              <w:r>
                <w:rPr>
                  <w:rFonts w:eastAsia="等线" w:ascii="Arial" w:cs="Arial" w:hAnsi="Arial"/>
                  <w:color w:val="3370ff"/>
                  <w:sz w:val="22"/>
                </w:rPr>
                <w:t>exx_fock_alpha</w:t>
              </w:r>
            </w:hyperlink>
          </w:p>
        </w:tc>
        <w:tc>
          <w:tcPr>
            <w:tcW w:w="1785" w:type="dxa"/>
            <w:tcMar>
              <w:top w:type="dxa" w:w="60"/>
              <w:left w:type="dxa" w:w="120"/>
              <w:bottom w:type="dxa" w:w="30"/>
              <w:right w:type="dxa" w:w="120"/>
            </w:tcMar>
          </w:tcPr>
          <w:p>
            <w:pPr>
              <w:spacing w:before="120" w:after="120" w:line="288" w:lineRule="auto"/>
              <w:ind w:left="0"/>
              <w:jc w:val="left"/>
            </w:pPr>
            <w:hyperlink r:id="rId7">
              <w:r>
                <w:rPr>
                  <w:rFonts w:eastAsia="等线" w:ascii="Arial" w:cs="Arial" w:hAnsi="Arial"/>
                  <w:color w:val="3370ff"/>
                  <w:sz w:val="22"/>
                </w:rPr>
                <w:t>exx_erfc_alpha</w:t>
              </w:r>
            </w:hyperlink>
          </w:p>
        </w:tc>
        <w:tc>
          <w:tcPr>
            <w:tcW w:w="1905" w:type="dxa"/>
            <w:tcMar>
              <w:top w:type="dxa" w:w="60"/>
              <w:left w:type="dxa" w:w="120"/>
              <w:bottom w:type="dxa" w:w="30"/>
              <w:right w:type="dxa" w:w="120"/>
            </w:tcMar>
          </w:tcPr>
          <w:p>
            <w:pPr>
              <w:spacing w:before="120" w:after="120" w:line="288" w:lineRule="auto"/>
              <w:ind w:left="0"/>
              <w:jc w:val="left"/>
            </w:pPr>
            <w:hyperlink r:id="rId8">
              <w:r>
                <w:rPr>
                  <w:rFonts w:eastAsia="等线" w:ascii="Arial" w:cs="Arial" w:hAnsi="Arial"/>
                  <w:color w:val="3370ff"/>
                  <w:sz w:val="22"/>
                </w:rPr>
                <w:t>exx_erfc_omega</w:t>
              </w:r>
            </w:hyperlink>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hf</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pbe0</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0.25</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b3lyp</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hse</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0.25</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0.11</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scan0</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0.25</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lc_pbe</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0.33</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lc_wpbe</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0.4</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lrc_wpbe</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lrc_wpbeh</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-0.8</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cam_pbeh</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0.8</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0.7</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muller</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power</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wp22</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0.11</w:t>
            </w:r>
          </w:p>
        </w:tc>
      </w:tr>
      <w:tr>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cwp22</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0.11</w:t>
            </w:r>
          </w:p>
        </w:tc>
      </w:tr>
    </w:tbl>
    <w:p>
      <w:pPr>
        <w:spacing w:before="120" w:after="120" w:line="288" w:lineRule="auto"/>
        <w:ind w:left="0"/>
        <w:jc w:val="left"/>
      </w:pPr>
      <w:r>
        <w:rPr>
          <w:rFonts w:eastAsia="等线" w:ascii="Arial" w:cs="Arial" w:hAnsi="Arial"/>
          <w:sz w:val="22"/>
        </w:rPr>
        <w:t>用户亦可自行设置三个参数以满足特殊泛函需求。</w:t>
      </w:r>
    </w:p>
    <w:p>
      <w:pPr>
        <w:spacing w:before="120" w:after="120" w:line="288" w:lineRule="auto"/>
        <w:ind w:left="0"/>
        <w:jc w:val="left"/>
      </w:pPr>
      <w:r>
        <w:rPr>
          <w:rFonts w:eastAsia="等线" w:ascii="Arial" w:cs="Arial" w:hAnsi="Arial"/>
          <w:sz w:val="22"/>
        </w:rPr>
        <w:t>另外，因库伦势具有长程相互作用，杂化泛函自洽计算时的所需k点数目可能需大于局域或半局域密度泛函。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优化</w:t>
      </w:r>
      <w:bookmarkEnd w:id="3"/>
    </w:p>
    <w:p>
      <w:pPr>
        <w:spacing w:before="120" w:after="120" w:line="288" w:lineRule="auto"/>
        <w:ind w:left="0"/>
        <w:jc w:val="left"/>
      </w:pPr>
      <w:r>
        <w:rPr>
          <w:rFonts w:eastAsia="等线" w:ascii="Arial" w:cs="Arial" w:hAnsi="Arial"/>
          <w:sz w:val="22"/>
        </w:rPr>
        <w:t>杂化泛函计算相比于局域或半局域密度泛函计算，额外增加了 EXX 部分的计算。该部分计算量较大，以下措施能有效节省计算时间与内存。</w:t>
      </w:r>
    </w:p>
    <w:p>
      <w:pPr>
        <w:pStyle w:val="2"/>
        <w:spacing w:before="320" w:after="120" w:line="288" w:lineRule="auto"/>
        <w:ind w:left="0"/>
        <w:jc w:val="left"/>
        <w:outlineLvl w:val="1"/>
      </w:pPr>
      <w:bookmarkStart w:name="heading_4" w:id="4"/>
      <w:r>
        <w:rPr>
          <w:rFonts w:eastAsia="等线" w:ascii="Arial" w:cs="Arial" w:hAnsi="Arial"/>
          <w:b w:val="true"/>
          <w:sz w:val="32"/>
        </w:rPr>
        <w:t>并行方案</w:t>
      </w:r>
      <w:bookmarkEnd w:id="4"/>
    </w:p>
    <w:p>
      <w:pPr>
        <w:spacing w:before="120" w:after="120" w:line="288" w:lineRule="auto"/>
        <w:ind w:left="0"/>
        <w:jc w:val="left"/>
      </w:pPr>
      <w:r>
        <w:rPr>
          <w:rFonts w:eastAsia="等线" w:ascii="Arial" w:cs="Arial" w:hAnsi="Arial"/>
          <w:sz w:val="22"/>
        </w:rPr>
        <w:t>EXX 计算的内存消耗量较大。尽可能多使用 OpenMP 线程并行、少使用 MPI 进程并行，可显著降低计算内存消耗。最节省内存的方案为每个计算节点开一个进程、节点内部开满线程。如使用 3 个 56 核节点计算，运行时可设置为</w:t>
      </w:r>
      <w:r>
        <w:rPr>
          <w:rFonts w:eastAsia="Consolas" w:ascii="Consolas" w:cs="Consolas" w:hAnsi="Consolas"/>
          <w:sz w:val="22"/>
          <w:shd w:fill="EFF0F1"/>
        </w:rPr>
        <w:t>mpirun -np 3 -ppn 1 -env OMP_NUM_THREADS=56 abacus</w:t>
      </w:r>
      <w:r>
        <w:rPr>
          <w:rFonts w:eastAsia="等线" w:ascii="Arial" w:cs="Arial" w:hAnsi="Arial"/>
          <w:sz w:val="22"/>
        </w:rPr>
        <w:t>。</w:t>
      </w:r>
    </w:p>
    <w:p>
      <w:pPr>
        <w:spacing w:before="120" w:after="120" w:line="288" w:lineRule="auto"/>
        <w:ind w:left="0"/>
        <w:jc w:val="left"/>
      </w:pPr>
      <w:r>
        <w:rPr>
          <w:rFonts w:eastAsia="等线" w:ascii="Arial" w:cs="Arial" w:hAnsi="Arial"/>
          <w:sz w:val="22"/>
        </w:rPr>
        <w:t>需要注意，DFT 计算的各部分（如 EXX 项计算、格点积分项计算、哈密顿量对角化）计算时间在不同线程与进程数目的表现各不相同。分配线程与进程数目时，应根据各部分时间与内存占比进行综合权衡，以提升全程序总运行性能。一般而言，在确保内存足够的前提下，适当增加进程数（如每节点 4 进程），可能有利于提高全程序计算速度。</w:t>
      </w:r>
    </w:p>
    <w:p>
      <w:pPr>
        <w:spacing w:before="120" w:after="120" w:line="288" w:lineRule="auto"/>
        <w:ind w:left="0"/>
        <w:jc w:val="left"/>
      </w:pPr>
      <w:r>
        <w:rPr>
          <w:rFonts w:eastAsia="等线" w:ascii="Arial" w:cs="Arial" w:hAnsi="Arial"/>
          <w:sz w:val="22"/>
        </w:rPr>
        <w:t>【下文所用示例皆为 1024 个 Si 原子的 FCC 晶体，使用单节点 4 进程 14 线程】</w:t>
      </w:r>
    </w:p>
    <w:p>
      <w:pPr>
        <w:pStyle w:val="2"/>
        <w:spacing w:before="320" w:after="120" w:line="288" w:lineRule="auto"/>
        <w:ind w:left="0"/>
        <w:jc w:val="left"/>
        <w:outlineLvl w:val="1"/>
      </w:pPr>
      <w:bookmarkStart w:name="heading_5" w:id="5"/>
      <w:r>
        <w:rPr>
          <w:rFonts w:eastAsia="等线" w:ascii="Arial" w:cs="Arial" w:hAnsi="Arial"/>
          <w:b w:val="true"/>
          <w:sz w:val="32"/>
        </w:rPr>
        <w:t>自洽迭代循环</w:t>
      </w:r>
      <w:bookmarkEnd w:id="5"/>
    </w:p>
    <w:p>
      <w:pPr>
        <w:spacing w:before="120" w:after="120" w:line="288" w:lineRule="auto"/>
        <w:ind w:left="0"/>
        <w:jc w:val="left"/>
      </w:pPr>
      <w:r>
        <w:rPr>
          <w:rFonts w:eastAsia="Consolas" w:ascii="Consolas" w:cs="Consolas" w:hAnsi="Consolas"/>
          <w:sz w:val="22"/>
          <w:shd w:fill="EFF0F1"/>
        </w:rPr>
        <w:t>exx_separate_loop</w:t>
      </w:r>
    </w:p>
    <w:p>
      <w:pPr>
        <w:spacing w:before="120" w:after="120" w:line="288" w:lineRule="auto"/>
        <w:ind w:left="0"/>
        <w:jc w:val="left"/>
      </w:pPr>
      <w:r>
        <w:rPr>
          <w:rFonts w:eastAsia="等线" w:ascii="Arial" w:cs="Arial" w:hAnsi="Arial"/>
          <w:sz w:val="22"/>
        </w:rPr>
        <w:t>杂化泛函在自洽计算的迭代循环，目前支持两种方案。</w:t>
      </w:r>
    </w:p>
    <w:p>
      <w:pPr>
        <w:numPr>
          <w:numId w:val="1"/>
        </w:numPr>
        <w:spacing w:before="120" w:after="120" w:line="288" w:lineRule="auto"/>
        <w:ind w:left="0"/>
        <w:jc w:val="left"/>
      </w:pPr>
      <w:r>
        <w:rPr>
          <w:rFonts w:eastAsia="等线" w:ascii="Arial" w:cs="Arial" w:hAnsi="Arial"/>
          <w:sz w:val="22"/>
        </w:rPr>
        <w:t xml:space="preserve">单层循环 </w:t>
      </w:r>
      <w:r>
        <w:rPr>
          <w:rFonts w:eastAsia="Consolas" w:ascii="Consolas" w:cs="Consolas" w:hAnsi="Consolas"/>
          <w:sz w:val="22"/>
          <w:shd w:fill="EFF0F1"/>
        </w:rPr>
        <w:t>exx_separate_loop  0</w:t>
      </w:r>
      <w:r>
        <w:rPr>
          <w:rFonts w:eastAsia="等线" w:ascii="Arial" w:cs="Arial" w:hAnsi="Arial"/>
          <w:sz w:val="22"/>
        </w:rPr>
        <w:t>。（如图所示，红圈只更新 GGA，绿圈同时更新 GGA 与 EXX）</w:t>
      </w:r>
    </w:p>
    <w:p>
      <w:pPr>
        <w:spacing w:before="120" w:after="120" w:line="288" w:lineRule="auto"/>
        <w:ind w:left="0"/>
        <w:jc w:val="center"/>
      </w:pPr>
      <w:r>
        <w:drawing>
          <wp:inline distT="0" distR="0" distB="0" distL="0">
            <wp:extent cx="3695700" cy="35623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0"/>
                    <a:stretch>
                      <a:fillRect/>
                    </a:stretch>
                  </pic:blipFill>
                  <pic:spPr>
                    <a:xfrm>
                      <a:off x="0" y="0"/>
                      <a:ext cx="3695700" cy="3562350"/>
                    </a:xfrm>
                    <a:prstGeom prst="rect">
                      <a:avLst/>
                    </a:prstGeom>
                  </pic:spPr>
                </pic:pic>
              </a:graphicData>
            </a:graphic>
          </wp:inline>
        </w:drawing>
      </w:r>
    </w:p>
    <w:p>
      <w:pPr>
        <w:numPr>
          <w:numId w:val="2"/>
        </w:numPr>
        <w:spacing w:before="120" w:after="120" w:line="288" w:lineRule="auto"/>
        <w:ind w:left="0"/>
        <w:jc w:val="left"/>
      </w:pPr>
      <w:r>
        <w:rPr>
          <w:rFonts w:eastAsia="等线" w:ascii="Arial" w:cs="Arial" w:hAnsi="Arial"/>
          <w:sz w:val="22"/>
        </w:rPr>
        <w:t xml:space="preserve">双层循环 </w:t>
      </w:r>
      <w:r>
        <w:rPr>
          <w:rFonts w:eastAsia="Consolas" w:ascii="Consolas" w:cs="Consolas" w:hAnsi="Consolas"/>
          <w:sz w:val="22"/>
          <w:shd w:fill="EFF0F1"/>
        </w:rPr>
        <w:t>exx_separate_loop  1</w:t>
      </w:r>
      <w:r>
        <w:rPr>
          <w:rFonts w:eastAsia="等线" w:ascii="Arial" w:cs="Arial" w:hAnsi="Arial"/>
          <w:sz w:val="22"/>
        </w:rPr>
        <w:t>。（如图所示，红圈内层循环只更新 GGA，蓝色外层循环只更新 EXX）。以内循环第一步 DRHO 达到收敛精度</w:t>
      </w:r>
      <w:r>
        <w:rPr>
          <w:rFonts w:eastAsia="Consolas" w:ascii="Consolas" w:cs="Consolas" w:hAnsi="Consolas"/>
          <w:sz w:val="22"/>
          <w:shd w:fill="EFF0F1"/>
        </w:rPr>
        <w:t>scf_thr</w:t>
      </w:r>
      <w:r>
        <w:rPr>
          <w:rFonts w:eastAsia="等线" w:ascii="Arial" w:cs="Arial" w:hAnsi="Arial"/>
          <w:sz w:val="22"/>
        </w:rPr>
        <w:t>为收敛判据。</w:t>
      </w:r>
    </w:p>
    <w:p>
      <w:pPr>
        <w:spacing w:before="120" w:after="120" w:line="288" w:lineRule="auto"/>
        <w:ind w:left="0"/>
        <w:jc w:val="center"/>
      </w:pPr>
      <w:r>
        <w:drawing>
          <wp:inline distT="0" distR="0" distB="0" distL="0">
            <wp:extent cx="3667125" cy="35337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1"/>
                    <a:stretch>
                      <a:fillRect/>
                    </a:stretch>
                  </pic:blipFill>
                  <pic:spPr>
                    <a:xfrm>
                      <a:off x="0" y="0"/>
                      <a:ext cx="3667125" cy="3533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对性能影响如下：</w:t>
      </w:r>
    </w:p>
    <w:p>
      <w:pPr>
        <w:numPr>
          <w:numId w:val="3"/>
        </w:numPr>
        <w:spacing w:before="120" w:after="120" w:line="288" w:lineRule="auto"/>
        <w:ind w:left="0"/>
        <w:jc w:val="left"/>
      </w:pPr>
      <w:r>
        <w:rPr>
          <w:rFonts w:eastAsia="等线" w:ascii="Arial" w:cs="Arial" w:hAnsi="Arial"/>
          <w:sz w:val="22"/>
        </w:rPr>
        <w:t xml:space="preserve">双层循环内存消耗量较低，单循环需额外存储 </w:t>
      </w:r>
      <w:r>
        <w:rPr>
          <w:rFonts w:eastAsia="Consolas" w:ascii="Consolas" w:cs="Consolas" w:hAnsi="Consolas"/>
          <w:sz w:val="22"/>
          <w:shd w:fill="EFF0F1"/>
        </w:rPr>
        <w:t>mixing_ndim</w:t>
      </w:r>
      <w:r>
        <w:rPr>
          <w:rFonts w:eastAsia="等线" w:ascii="Arial" w:cs="Arial" w:hAnsi="Arial"/>
          <w:sz w:val="22"/>
        </w:rPr>
        <w:t xml:space="preserve"> 步的密度矩阵。（如上例，双层循环峰值内存 105 GB，单层循环峰值内存 116 GB）</w:t>
      </w:r>
    </w:p>
    <w:p>
      <w:pPr>
        <w:numPr>
          <w:numId w:val="4"/>
        </w:numPr>
        <w:spacing w:before="120" w:after="120" w:line="288" w:lineRule="auto"/>
        <w:ind w:left="0"/>
        <w:jc w:val="left"/>
      </w:pPr>
      <w:r>
        <w:rPr>
          <w:rFonts w:eastAsia="等线" w:ascii="Arial" w:cs="Arial" w:hAnsi="Arial"/>
          <w:sz w:val="22"/>
        </w:rPr>
        <w:t>单层循环收敛性质较好，适用于难以收敛的体系。</w:t>
      </w:r>
    </w:p>
    <w:p>
      <w:pPr>
        <w:numPr>
          <w:numId w:val="5"/>
        </w:numPr>
        <w:spacing w:before="120" w:after="120" w:line="288" w:lineRule="auto"/>
        <w:ind w:left="0"/>
        <w:jc w:val="left"/>
      </w:pPr>
      <w:r>
        <w:rPr>
          <w:rFonts w:eastAsia="等线" w:ascii="Arial" w:cs="Arial" w:hAnsi="Arial"/>
          <w:sz w:val="22"/>
        </w:rPr>
        <w:t>计算 EXX 的次数，单层循环与双层循环互有高低；计算 GGA 的次数，双层循环将明显多于单层循环。全程序总运行时间由这二者单步时间与收敛步数共同决定。（如上例，单层循环总耗时 2062 s，双层循环总耗时 2591 s）</w:t>
      </w:r>
    </w:p>
    <w:p>
      <w:pPr>
        <w:pStyle w:val="2"/>
        <w:spacing w:before="320" w:after="120" w:line="288" w:lineRule="auto"/>
        <w:ind w:left="0"/>
        <w:jc w:val="left"/>
        <w:outlineLvl w:val="1"/>
      </w:pPr>
      <w:bookmarkStart w:name="heading_6" w:id="6"/>
      <w:r>
        <w:rPr>
          <w:rFonts w:eastAsia="等线" w:ascii="Arial" w:cs="Arial" w:hAnsi="Arial"/>
          <w:b w:val="true"/>
          <w:sz w:val="32"/>
        </w:rPr>
        <w:t>实数与复数</w:t>
      </w:r>
      <w:bookmarkEnd w:id="6"/>
    </w:p>
    <w:p>
      <w:pPr>
        <w:spacing w:before="120" w:after="120" w:line="288" w:lineRule="auto"/>
        <w:ind w:left="0"/>
        <w:jc w:val="left"/>
      </w:pPr>
      <w:r>
        <w:rPr>
          <w:rFonts w:eastAsia="Consolas" w:ascii="Consolas" w:cs="Consolas" w:hAnsi="Consolas"/>
          <w:sz w:val="22"/>
          <w:shd w:fill="EFF0F1"/>
        </w:rPr>
        <w:t>exx_real_number</w:t>
      </w:r>
      <w:r>
        <w:rPr>
          <w:rFonts w:eastAsia="等线" w:ascii="Arial" w:cs="Arial" w:hAnsi="Arial"/>
          <w:sz w:val="22"/>
        </w:rPr>
        <w:br/>
      </w:r>
      <w:r>
        <w:rPr>
          <w:rFonts w:eastAsia="等线" w:ascii="Arial" w:cs="Arial" w:hAnsi="Arial"/>
          <w:sz w:val="22"/>
        </w:rPr>
        <w:t>EXX 计算依赖于实空间密度矩阵 D(R)。若用户能确定该体系的计算中 D(R) 虚部始终为零，则可设置</w:t>
      </w:r>
      <w:r>
        <w:rPr>
          <w:rFonts w:eastAsia="Consolas" w:ascii="Consolas" w:cs="Consolas" w:hAnsi="Consolas"/>
          <w:sz w:val="22"/>
          <w:shd w:fill="EFF0F1"/>
        </w:rPr>
        <w:t>exx_real_number  1</w:t>
      </w:r>
      <w:r>
        <w:rPr>
          <w:rFonts w:eastAsia="等线" w:ascii="Arial" w:cs="Arial" w:hAnsi="Arial"/>
          <w:sz w:val="22"/>
        </w:rPr>
        <w:t>，将 EXX 计算限制在实数上，可有效提高计算速度。</w:t>
      </w:r>
    </w:p>
    <w:p>
      <w:pPr>
        <w:spacing w:before="120" w:after="120" w:line="288" w:lineRule="auto"/>
        <w:ind w:left="0"/>
        <w:jc w:val="left"/>
      </w:pPr>
      <w:r>
        <w:rPr>
          <w:rFonts w:eastAsia="等线" w:ascii="Arial" w:cs="Arial" w:hAnsi="Arial"/>
          <w:sz w:val="22"/>
        </w:rPr>
        <w:t>（如上例，单步 EXX 耗时，实数为 106 s， 复数为 270 s）</w:t>
      </w:r>
    </w:p>
    <w:p>
      <w:pPr>
        <w:pStyle w:val="2"/>
        <w:spacing w:before="320" w:after="120" w:line="288" w:lineRule="auto"/>
        <w:ind w:left="0"/>
        <w:jc w:val="left"/>
        <w:outlineLvl w:val="1"/>
      </w:pPr>
      <w:bookmarkStart w:name="heading_7" w:id="7"/>
      <w:r>
        <w:rPr>
          <w:rFonts w:eastAsia="等线" w:ascii="Arial" w:cs="Arial" w:hAnsi="Arial"/>
          <w:b w:val="true"/>
          <w:sz w:val="32"/>
        </w:rPr>
        <w:t>原子轨道基组</w:t>
      </w:r>
      <w:bookmarkEnd w:id="7"/>
    </w:p>
    <w:p>
      <w:pPr>
        <w:numPr>
          <w:numId w:val="6"/>
        </w:numPr>
        <w:spacing w:before="120" w:after="120" w:line="288" w:lineRule="auto"/>
        <w:ind w:left="0"/>
        <w:jc w:val="left"/>
      </w:pPr>
      <w:r>
        <w:rPr>
          <w:rFonts w:eastAsia="等线" w:ascii="Arial" w:cs="Arial" w:hAnsi="Arial"/>
          <w:sz w:val="22"/>
        </w:rPr>
        <w:t>EXX 的计算量最高可正比于原子轨道截断半径的九次方。因此若无特殊需求，建议将截断半径缩短至合适的长度（如 ABACUS 官网提供的默认长度），避免盲目取最高截断半径，可显著提高计算速度。</w:t>
        <w:br/>
      </w:r>
      <w:r>
        <w:rPr>
          <w:rFonts w:eastAsia="等线" w:ascii="Arial" w:cs="Arial" w:hAnsi="Arial"/>
          <w:sz w:val="22"/>
        </w:rPr>
        <w:t>（如上例，单步 EXX 耗时，Rcut=7au为 106 s，Rcut=10au为 282 s）</w:t>
      </w:r>
    </w:p>
    <w:p>
      <w:pPr>
        <w:numPr>
          <w:numId w:val="7"/>
        </w:numPr>
        <w:spacing w:before="120" w:after="120" w:line="288" w:lineRule="auto"/>
        <w:ind w:left="0"/>
        <w:jc w:val="left"/>
      </w:pPr>
      <w:r>
        <w:rPr>
          <w:rFonts w:eastAsia="等线" w:ascii="Arial" w:cs="Arial" w:hAnsi="Arial"/>
          <w:sz w:val="22"/>
        </w:rPr>
        <w:t>EXX 的计算量最高可正比于原子轨道基组数目的四次方。因此若无特殊需求，建议将基组数取为合适的大小（如 ABACUS 官网提供的默认 dzp 轨道），避免盲目增加高角动量基组，可显著提高计算速度。</w:t>
        <w:br/>
      </w:r>
      <w:r>
        <w:rPr>
          <w:rFonts w:eastAsia="等线" w:ascii="Arial" w:cs="Arial" w:hAnsi="Arial"/>
          <w:sz w:val="22"/>
        </w:rPr>
        <w:t>（如上例，单步 EXX 耗时，dzp为 106 s，tzdp为 612 s）</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INPUT 文件中还有很多额外参数，可对 EXX 计算的精度与速度进行更精细的调整。其默认值经过一定量的系统测试，在计算精度与计算速度间取得了较好的平衡，建议普通用户使用默认值即可。</w:t>
      </w:r>
    </w:p>
    <w:p>
      <w:pPr>
        <w:spacing w:before="120" w:after="120" w:line="288" w:lineRule="auto"/>
        <w:ind w:left="0"/>
        <w:jc w:val="left"/>
      </w:pPr>
      <w:r>
        <w:rPr>
          <w:rFonts w:eastAsia="等线" w:ascii="Arial" w:cs="Arial" w:hAnsi="Arial"/>
          <w:sz w:val="22"/>
        </w:rPr>
        <w:t>杂化泛函的其他计算流程（包括INPUT、STRU、KPT，以及后处理如使用PYATB计算能带等），与局域或半局域密度泛函计算基本相同。</w:t>
      </w:r>
    </w:p>
    <w:sectPr>
      <w:footerReference w:type="default" r:id="rId3"/>
      <w:headerReference w:type="default" r:id="rId1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陈昶西 2883"/>
          <v:fill opacity="0.3"/>
        </v:shape>
      </w:pict>
    </w:r>
  </w:p>
</w:hdr>
</file>

<file path=word/numbering.xml><?xml version="1.0" encoding="utf-8"?>
<w:numbering xmlns:w="http://schemas.openxmlformats.org/wordprocessingml/2006/main">
  <w:abstractNum w:abstractNumId="586879">
    <w:lvl>
      <w:start w:val="1"/>
      <w:numFmt w:val="decimal"/>
      <w:suff w:val="tab"/>
      <w:lvlText w:val="%1."/>
      <w:rPr>
        <w:color w:val="3370ff"/>
      </w:rPr>
    </w:lvl>
  </w:abstractNum>
  <w:abstractNum w:abstractNumId="586880">
    <w:lvl>
      <w:start w:val="2"/>
      <w:numFmt w:val="decimal"/>
      <w:suff w:val="tab"/>
      <w:lvlText w:val="%1."/>
      <w:rPr>
        <w:color w:val="3370ff"/>
      </w:rPr>
    </w:lvl>
  </w:abstractNum>
  <w:abstractNum w:abstractNumId="586881">
    <w:lvl>
      <w:numFmt w:val="bullet"/>
      <w:suff w:val="tab"/>
      <w:lvlText w:val="•"/>
      <w:rPr>
        <w:color w:val="3370ff"/>
      </w:rPr>
    </w:lvl>
  </w:abstractNum>
  <w:abstractNum w:abstractNumId="586882">
    <w:lvl>
      <w:numFmt w:val="bullet"/>
      <w:suff w:val="tab"/>
      <w:lvlText w:val="•"/>
      <w:rPr>
        <w:color w:val="3370ff"/>
      </w:rPr>
    </w:lvl>
  </w:abstractNum>
  <w:abstractNum w:abstractNumId="586883">
    <w:lvl>
      <w:numFmt w:val="bullet"/>
      <w:suff w:val="tab"/>
      <w:lvlText w:val="•"/>
      <w:rPr>
        <w:color w:val="3370ff"/>
      </w:rPr>
    </w:lvl>
  </w:abstractNum>
  <w:abstractNum w:abstractNumId="586884">
    <w:lvl>
      <w:numFmt w:val="bullet"/>
      <w:suff w:val="tab"/>
      <w:lvlText w:val="•"/>
      <w:rPr>
        <w:color w:val="3370ff"/>
      </w:rPr>
    </w:lvl>
  </w:abstractNum>
  <w:abstractNum w:abstractNumId="586885">
    <w:lvl>
      <w:numFmt w:val="bullet"/>
      <w:suff w:val="tab"/>
      <w:lvlText w:val="•"/>
      <w:rPr>
        <w:color w:val="3370ff"/>
      </w:rPr>
    </w:lvl>
  </w:abstractNum>
  <w:num w:numId="1">
    <w:abstractNumId w:val="586879"/>
  </w:num>
  <w:num w:numId="2">
    <w:abstractNumId w:val="586880"/>
  </w:num>
  <w:num w:numId="3">
    <w:abstractNumId w:val="586881"/>
  </w:num>
  <w:num w:numId="4">
    <w:abstractNumId w:val="586882"/>
  </w:num>
  <w:num w:numId="5">
    <w:abstractNumId w:val="586883"/>
  </w:num>
  <w:num w:numId="6">
    <w:abstractNumId w:val="586884"/>
  </w:num>
  <w:num w:numId="7">
    <w:abstractNumId w:val="58688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2.png" Type="http://schemas.openxmlformats.org/officeDocument/2006/relationships/image"/><Relationship Id="rId11" Target="media/image3.png" Type="http://schemas.openxmlformats.org/officeDocument/2006/relationships/image"/><Relationship Id="rId12"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https://abacus.deepmodeling.com/en/latest/advanced/input_files/input-main.html#dft-functional" TargetMode="External" Type="http://schemas.openxmlformats.org/officeDocument/2006/relationships/hyperlink"/><Relationship Id="rId6" Target="https://abacus.deepmodeling.com/en/latest/advanced/input_files/input-main.html#exx-fock-alpha" TargetMode="External" Type="http://schemas.openxmlformats.org/officeDocument/2006/relationships/hyperlink"/><Relationship Id="rId7" Target="https://abacus.deepmodeling.com/en/latest/advanced/input_files/input-main.html#exx-erfc-alpha" TargetMode="External" Type="http://schemas.openxmlformats.org/officeDocument/2006/relationships/hyperlink"/><Relationship Id="rId8" Target="https://abacus.deepmodeling.com/en/latest/advanced/input_files/input-main.html#exx-erfc-omega" TargetMode="External" Type="http://schemas.openxmlformats.org/officeDocument/2006/relationships/hyperlink"/><Relationship Id="rId9"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2026-01-21T02:43:34Z</dcterms:created>
  <dc:creator>Apache POI</dc:creator>
</cp:coreProperties>
</file>