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C40A" w14:textId="77777777" w:rsidR="00584E59" w:rsidRPr="00584E59" w:rsidRDefault="00584E59" w:rsidP="00584E59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Эссе</w:t>
      </w:r>
    </w:p>
    <w:p w14:paraId="6D6A73FE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Тема: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«Ни один царь после Петра не сдвинул так Россию с реакционного пути восточной деспотии, как Александр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>» (Д. А. Милютин)</w:t>
      </w:r>
    </w:p>
    <w:p w14:paraId="34F893E3" w14:textId="12A69DF6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Выполнил: </w:t>
      </w:r>
      <w:proofErr w:type="spellStart"/>
      <w:r w:rsidRPr="00584E59">
        <w:rPr>
          <w:rFonts w:asciiTheme="majorBidi" w:hAnsiTheme="majorBidi" w:cstheme="majorBidi"/>
          <w:sz w:val="28"/>
          <w:szCs w:val="28"/>
          <w:lang w:val="ru-RU"/>
        </w:rPr>
        <w:t>Ахроров</w:t>
      </w:r>
      <w:proofErr w:type="spell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584E59">
        <w:rPr>
          <w:rFonts w:asciiTheme="majorBidi" w:hAnsiTheme="majorBidi" w:cstheme="majorBidi"/>
          <w:sz w:val="28"/>
          <w:szCs w:val="28"/>
          <w:lang w:val="ru-RU"/>
        </w:rPr>
        <w:t>Кароматуллохон</w:t>
      </w:r>
      <w:proofErr w:type="spell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proofErr w:type="spellStart"/>
      <w:r w:rsidRPr="00584E59">
        <w:rPr>
          <w:rFonts w:asciiTheme="majorBidi" w:hAnsiTheme="majorBidi" w:cstheme="majorBidi"/>
          <w:sz w:val="28"/>
          <w:szCs w:val="28"/>
          <w:lang w:val="ru-RU"/>
        </w:rPr>
        <w:t>Фирдавсович</w:t>
      </w:r>
      <w:proofErr w:type="spell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476150</w:t>
      </w:r>
    </w:p>
    <w:p w14:paraId="75FE4305" w14:textId="17BB22FF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>Принял: Новиков Максим Дмитриевич</w:t>
      </w:r>
    </w:p>
    <w:p w14:paraId="27F0D89A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</w:rPr>
      </w:pPr>
      <w:r w:rsidRPr="00584E59">
        <w:rPr>
          <w:rFonts w:asciiTheme="majorBidi" w:hAnsiTheme="majorBidi" w:cstheme="majorBidi"/>
          <w:sz w:val="28"/>
          <w:szCs w:val="28"/>
        </w:rPr>
        <w:pict w14:anchorId="5C18FB16">
          <v:rect id="_x0000_i1073" style="width:0;height:1.5pt" o:hralign="center" o:hrstd="t" o:hr="t" fillcolor="#a0a0a0" stroked="f"/>
        </w:pict>
      </w:r>
    </w:p>
    <w:p w14:paraId="5DB25333" w14:textId="77777777" w:rsidR="00584E59" w:rsidRPr="00584E59" w:rsidRDefault="00584E59" w:rsidP="00584E59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Введение</w:t>
      </w:r>
    </w:p>
    <w:p w14:paraId="1D2EC1C4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История России — это постоянная борьба между реформами и консерватизмом, между стремлением к переменам и страхом перед ними. В </w:t>
      </w:r>
      <w:r w:rsidRPr="00584E59">
        <w:rPr>
          <w:rFonts w:asciiTheme="majorBidi" w:hAnsiTheme="majorBidi" w:cstheme="majorBidi"/>
          <w:sz w:val="28"/>
          <w:szCs w:val="28"/>
        </w:rPr>
        <w:t>XIX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веке, после долгого периода стагнации и консерватизма, страна снова оказалась на пороге больших изменений. Известный государственный деятель Д. А. Милютин утверждал: «Ни один царь после Петра не сдвинул так Россию с реакционного пути восточной деспотии, как Александр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». Действительно ли Александр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был настолько значимым реформатором, что его можно сравнивать с Петром </w:t>
      </w:r>
      <w:r w:rsidRPr="00584E59">
        <w:rPr>
          <w:rFonts w:asciiTheme="majorBidi" w:hAnsiTheme="majorBidi" w:cstheme="majorBidi"/>
          <w:sz w:val="28"/>
          <w:szCs w:val="28"/>
        </w:rPr>
        <w:t>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>? В этом эссе я постараюсь разобраться, насколько справедливо это суждение, и привести аргументы в его поддержку.</w:t>
      </w:r>
    </w:p>
    <w:p w14:paraId="25CC47CF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</w:rPr>
      </w:pPr>
      <w:r w:rsidRPr="00584E59">
        <w:rPr>
          <w:rFonts w:asciiTheme="majorBidi" w:hAnsiTheme="majorBidi" w:cstheme="majorBidi"/>
          <w:sz w:val="28"/>
          <w:szCs w:val="28"/>
        </w:rPr>
        <w:pict w14:anchorId="45655A61">
          <v:rect id="_x0000_i1074" style="width:0;height:1.5pt" o:hralign="center" o:hrstd="t" o:hr="t" fillcolor="#a0a0a0" stroked="f"/>
        </w:pict>
      </w:r>
    </w:p>
    <w:p w14:paraId="28EB8E3E" w14:textId="77777777" w:rsidR="00584E59" w:rsidRPr="00584E59" w:rsidRDefault="00584E59" w:rsidP="00584E59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Основная часть</w:t>
      </w:r>
    </w:p>
    <w:p w14:paraId="6FBCA348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Первое, что приходит на ум, когда говорят об Александре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, — это </w:t>
      </w: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отмена крепостного права в 1861 году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. Это, без преувеличения, стало одним из главных событий </w:t>
      </w:r>
      <w:r w:rsidRPr="00584E59">
        <w:rPr>
          <w:rFonts w:asciiTheme="majorBidi" w:hAnsiTheme="majorBidi" w:cstheme="majorBidi"/>
          <w:sz w:val="28"/>
          <w:szCs w:val="28"/>
        </w:rPr>
        <w:t>XIX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века для России. До этого крепостное право фактически делало миллионы людей «живым товаром», которые были полностью зависимы от воли помещиков. Отмена крепостного права не только предоставила крестьянам личную свободу, но и стала толчком для дальнейших экономических, социальных и культурных изменений. Теперь крестьяне получили возможность работать на себя, переезжать, учиться, а также участвовать в хозяйственной жизни страны. Именно этот шаг позволил России встать на путь модернизации, хотя многие проблемы крестьян ещё долго оставались нерешёнными.</w:t>
      </w:r>
    </w:p>
    <w:p w14:paraId="32D0FB4A" w14:textId="33B2B9F1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Вторым важнейшим аргументом в пользу реформаторства Александра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можно назвать </w:t>
      </w: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судебную реформу 1864 года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. Впервые в России была создана система независимых судов, появились присяжные заседатели, была введена состязательность сторон и гласность судопроизводства. Это стало серьёзным шагом вперёд по пути создания правового государства. До этого суды в России часто были несправедливыми, решения принимались по воле чиновников, а права простых людей практически не защищались. 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>Благодаря реформе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судебная система стала более понятной и справедливой, а люди получили шанс на объективное рассмотрение своих дел.</w:t>
      </w:r>
    </w:p>
    <w:p w14:paraId="164522B9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Третьим аргументом, подтверждающим мысль Милютина, можно назвать </w:t>
      </w: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земскую реформу и развитие местного самоуправления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. Александр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разрешил создание земств — выборных органов управления на местах. Это был первый опыт участия широких слоёв населения в решении местных вопросов: строительства школ, больниц, дорог, развития торговли и промышленности. Земства стали важной школой гражданской ответственности и управления, а также сыграли большую роль в развитии образования и здравоохранения в России.</w:t>
      </w:r>
    </w:p>
    <w:p w14:paraId="7551C8B4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Кроме этих трёх, стоит отметить и </w:t>
      </w: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t>военную реформу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(1860-е — 1870-е гг.), которая ввела всеобщую воинскую повинность и позволила сделать армию более профессиональной и эффективной. Также при Александре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были расширены права университетов, появилась возможность получения образования для большего числа людей, была частично ослаблена цензура. Все эти реформы делали Россию менее «восточной деспотией», о которой говорил Милютин, и приближали страну к европейским стандартам развития.</w:t>
      </w:r>
    </w:p>
    <w:p w14:paraId="5D8D95C1" w14:textId="77777777" w:rsid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Однако не стоит забывать и о трудностях: реформы Александра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сталкивались с сопротивлением дворянства, бюрократии, зачастую были непоследовательны и не всегда доводились до конца. Многие крестьяне остались недовольны условиями освобождения, а политическая система самодержавия по-прежнему сохранялась. Тем не менее, по масштабам перемен с Александром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действительно мало кто может сравниться. Именно он дал старт тому процессу модернизации, который позднее продолжился, несмотря на все потрясения ХХ века.</w:t>
      </w:r>
    </w:p>
    <w:p w14:paraId="1BB6EA67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</w:rPr>
      </w:pPr>
      <w:r w:rsidRPr="00584E59">
        <w:rPr>
          <w:rFonts w:asciiTheme="majorBidi" w:hAnsiTheme="majorBidi" w:cstheme="majorBidi"/>
          <w:sz w:val="28"/>
          <w:szCs w:val="28"/>
        </w:rPr>
        <w:pict w14:anchorId="5C4902F1">
          <v:rect id="_x0000_i1075" style="width:0;height:1.5pt" o:hralign="center" o:hrstd="t" o:hr="t" fillcolor="#a0a0a0" stroked="f"/>
        </w:pict>
      </w:r>
    </w:p>
    <w:p w14:paraId="534B2A5D" w14:textId="77777777" w:rsidR="00584E59" w:rsidRPr="00584E59" w:rsidRDefault="00584E59" w:rsidP="00584E59">
      <w:pPr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Заключение</w:t>
      </w:r>
    </w:p>
    <w:p w14:paraId="05A50D6D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Таким образом, анализируя реформы Александра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, можно уверенно согласиться с суждением Д. А. Милютина. Ни один российский царь после Петра </w:t>
      </w:r>
      <w:r w:rsidRPr="00584E59">
        <w:rPr>
          <w:rFonts w:asciiTheme="majorBidi" w:hAnsiTheme="majorBidi" w:cstheme="majorBidi"/>
          <w:sz w:val="28"/>
          <w:szCs w:val="28"/>
        </w:rPr>
        <w:t>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не смог настолько кардинально изменить направление развития страны и вывести её из состояния застоя. Реформы Александра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не только сломали устои крепостничества, но и заложили основы для появления гражданского общества, более справедливого суда, местного самоуправления и образовательных инициатив. Его преобразования стали началом большой эволюции российского общества, даже несмотря на все ограничения и сложности. Александр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показал, что Россия способна на глубокие изменения, если на её пути появляются настоящие реформаторы.</w:t>
      </w:r>
    </w:p>
    <w:p w14:paraId="2800C7B2" w14:textId="77777777" w:rsidR="00584E59" w:rsidRPr="00584E59" w:rsidRDefault="00584E59" w:rsidP="00584E59">
      <w:pPr>
        <w:jc w:val="both"/>
        <w:rPr>
          <w:rFonts w:asciiTheme="majorBidi" w:hAnsiTheme="majorBidi" w:cstheme="majorBidi"/>
          <w:sz w:val="28"/>
          <w:szCs w:val="28"/>
        </w:rPr>
      </w:pPr>
      <w:r w:rsidRPr="00584E59">
        <w:rPr>
          <w:rFonts w:asciiTheme="majorBidi" w:hAnsiTheme="majorBidi" w:cstheme="majorBidi"/>
          <w:sz w:val="28"/>
          <w:szCs w:val="28"/>
        </w:rPr>
        <w:pict w14:anchorId="7802D13B">
          <v:rect id="_x0000_i1076" style="width:0;height:1.5pt" o:hralign="center" o:hrstd="t" o:hr="t" fillcolor="#a0a0a0" stroked="f"/>
        </w:pict>
      </w:r>
    </w:p>
    <w:p w14:paraId="40F9BAE0" w14:textId="77777777" w:rsidR="00584E59" w:rsidRPr="00584E59" w:rsidRDefault="00584E59" w:rsidP="00584E59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584E59">
        <w:rPr>
          <w:rFonts w:asciiTheme="majorBidi" w:hAnsiTheme="majorBidi" w:cstheme="majorBidi"/>
          <w:b/>
          <w:bCs/>
          <w:sz w:val="28"/>
          <w:szCs w:val="28"/>
        </w:rPr>
        <w:t>Список</w:t>
      </w:r>
      <w:proofErr w:type="spellEnd"/>
      <w:r w:rsidRPr="00584E5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584E59">
        <w:rPr>
          <w:rFonts w:asciiTheme="majorBidi" w:hAnsiTheme="majorBidi" w:cstheme="majorBidi"/>
          <w:b/>
          <w:bCs/>
          <w:sz w:val="28"/>
          <w:szCs w:val="28"/>
        </w:rPr>
        <w:t>литературы</w:t>
      </w:r>
      <w:proofErr w:type="spellEnd"/>
    </w:p>
    <w:p w14:paraId="4782FA97" w14:textId="77777777" w:rsidR="00584E59" w:rsidRPr="00584E59" w:rsidRDefault="00584E59" w:rsidP="00584E5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Боханов </w:t>
      </w:r>
      <w:proofErr w:type="gramStart"/>
      <w:r w:rsidRPr="00584E59">
        <w:rPr>
          <w:rFonts w:asciiTheme="majorBidi" w:hAnsiTheme="majorBidi" w:cstheme="majorBidi"/>
          <w:sz w:val="28"/>
          <w:szCs w:val="28"/>
          <w:lang w:val="ru-RU"/>
        </w:rPr>
        <w:t>А.Н.</w:t>
      </w:r>
      <w:proofErr w:type="gram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Александр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>. — М.: Молодая гвардия, 1991.</w:t>
      </w:r>
    </w:p>
    <w:p w14:paraId="06D45D2F" w14:textId="77777777" w:rsidR="00584E59" w:rsidRPr="00584E59" w:rsidRDefault="00584E59" w:rsidP="00584E5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Милюков </w:t>
      </w:r>
      <w:proofErr w:type="gramStart"/>
      <w:r w:rsidRPr="00584E59">
        <w:rPr>
          <w:rFonts w:asciiTheme="majorBidi" w:hAnsiTheme="majorBidi" w:cstheme="majorBidi"/>
          <w:sz w:val="28"/>
          <w:szCs w:val="28"/>
          <w:lang w:val="ru-RU"/>
        </w:rPr>
        <w:t>П.Н.</w:t>
      </w:r>
      <w:proofErr w:type="gram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Очерки по истории русской культуры. — М., 2002.</w:t>
      </w:r>
    </w:p>
    <w:p w14:paraId="1C077DE3" w14:textId="77777777" w:rsidR="00584E59" w:rsidRPr="00584E59" w:rsidRDefault="00584E59" w:rsidP="00584E5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584E59">
        <w:rPr>
          <w:rFonts w:asciiTheme="majorBidi" w:hAnsiTheme="majorBidi" w:cstheme="majorBidi"/>
          <w:sz w:val="28"/>
          <w:szCs w:val="28"/>
          <w:lang w:val="ru-RU"/>
        </w:rPr>
        <w:t>Полунов</w:t>
      </w:r>
      <w:proofErr w:type="spell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А.Ю. Реформы Александра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и их последствия // Журнал «История», №3, 2012.</w:t>
      </w:r>
    </w:p>
    <w:p w14:paraId="66752E93" w14:textId="77777777" w:rsidR="00584E59" w:rsidRPr="00584E59" w:rsidRDefault="00584E59" w:rsidP="00584E5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Кириллов </w:t>
      </w:r>
      <w:proofErr w:type="gramStart"/>
      <w:r w:rsidRPr="00584E59">
        <w:rPr>
          <w:rFonts w:asciiTheme="majorBidi" w:hAnsiTheme="majorBidi" w:cstheme="majorBidi"/>
          <w:sz w:val="28"/>
          <w:szCs w:val="28"/>
          <w:lang w:val="ru-RU"/>
        </w:rPr>
        <w:t>В.И.</w:t>
      </w:r>
      <w:proofErr w:type="gramEnd"/>
      <w:r w:rsidRPr="00584E59">
        <w:rPr>
          <w:rFonts w:asciiTheme="majorBidi" w:hAnsiTheme="majorBidi" w:cstheme="majorBidi"/>
          <w:sz w:val="28"/>
          <w:szCs w:val="28"/>
          <w:lang w:val="ru-RU"/>
        </w:rPr>
        <w:t xml:space="preserve"> Реформы Александра </w:t>
      </w:r>
      <w:r w:rsidRPr="00584E59">
        <w:rPr>
          <w:rFonts w:asciiTheme="majorBidi" w:hAnsiTheme="majorBidi" w:cstheme="majorBidi"/>
          <w:sz w:val="28"/>
          <w:szCs w:val="28"/>
        </w:rPr>
        <w:t>II</w:t>
      </w:r>
      <w:r w:rsidRPr="00584E59">
        <w:rPr>
          <w:rFonts w:asciiTheme="majorBidi" w:hAnsiTheme="majorBidi" w:cstheme="majorBidi"/>
          <w:sz w:val="28"/>
          <w:szCs w:val="28"/>
          <w:lang w:val="ru-RU"/>
        </w:rPr>
        <w:t>: причины, ход и последствия. — СПб.: Питер, 2015.</w:t>
      </w:r>
    </w:p>
    <w:p w14:paraId="3888B7B0" w14:textId="11E5A9F9" w:rsidR="00584E59" w:rsidRPr="00584E59" w:rsidRDefault="00584E59" w:rsidP="00584E59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  <w:lang w:val="ru-RU"/>
        </w:rPr>
      </w:pPr>
      <w:hyperlink r:id="rId5" w:history="1">
        <w:r w:rsidRPr="00584E59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 xml:space="preserve">Реформы Александра </w:t>
        </w:r>
        <w:r w:rsidRPr="00584E59">
          <w:rPr>
            <w:rStyle w:val="Hyperlink"/>
            <w:rFonts w:asciiTheme="majorBidi" w:hAnsiTheme="majorBidi" w:cstheme="majorBidi"/>
            <w:sz w:val="28"/>
            <w:szCs w:val="28"/>
          </w:rPr>
          <w:t>II</w:t>
        </w:r>
        <w:r w:rsidRPr="00584E59">
          <w:rPr>
            <w:rStyle w:val="Hyperlink"/>
            <w:rFonts w:asciiTheme="majorBidi" w:hAnsiTheme="majorBidi" w:cstheme="majorBidi"/>
            <w:sz w:val="28"/>
            <w:szCs w:val="28"/>
            <w:lang w:val="ru-RU"/>
          </w:rPr>
          <w:t>. Российская электронная школа</w:t>
        </w:r>
      </w:hyperlink>
    </w:p>
    <w:p w14:paraId="1023B959" w14:textId="77777777" w:rsidR="00A43114" w:rsidRPr="00584E59" w:rsidRDefault="00A43114" w:rsidP="00584E59">
      <w:pPr>
        <w:jc w:val="both"/>
        <w:rPr>
          <w:rFonts w:asciiTheme="majorBidi" w:hAnsiTheme="majorBidi" w:cstheme="majorBidi"/>
          <w:sz w:val="28"/>
          <w:szCs w:val="28"/>
          <w:lang w:val="ru-RU"/>
        </w:rPr>
      </w:pPr>
    </w:p>
    <w:sectPr w:rsidR="00A43114" w:rsidRPr="0058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11DC"/>
    <w:multiLevelType w:val="multilevel"/>
    <w:tmpl w:val="8FE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846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59"/>
    <w:rsid w:val="00527500"/>
    <w:rsid w:val="00584E59"/>
    <w:rsid w:val="00892225"/>
    <w:rsid w:val="009B3D41"/>
    <w:rsid w:val="00A43114"/>
    <w:rsid w:val="00CB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AF2E"/>
  <w15:chartTrackingRefBased/>
  <w15:docId w15:val="{55E6CE25-7BE3-45AA-9A1D-2F73422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E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E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h.edu.ru/subject/lesson/6167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Karomatullokhon Ahrorov</dc:creator>
  <cp:keywords/>
  <dc:description/>
  <cp:lastModifiedBy>Karomatullokhon Ahrorov</cp:lastModifiedBy>
  <cp:revision>1</cp:revision>
  <dcterms:created xsi:type="dcterms:W3CDTF">2025-05-29T11:16:00Z</dcterms:created>
  <dcterms:modified xsi:type="dcterms:W3CDTF">2025-05-29T11:22:00Z</dcterms:modified>
</cp:coreProperties>
</file>