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754" w:rsidRDefault="00E13754" w:rsidP="00571094">
      <w:pPr>
        <w:pStyle w:val="Heading1"/>
        <w:jc w:val="center"/>
      </w:pPr>
    </w:p>
    <w:p w:rsidR="00E13754" w:rsidRDefault="00E13754" w:rsidP="00571094">
      <w:pPr>
        <w:pStyle w:val="Heading1"/>
        <w:jc w:val="center"/>
      </w:pPr>
    </w:p>
    <w:p w:rsidR="00E13754" w:rsidRDefault="00E13754" w:rsidP="00571094">
      <w:pPr>
        <w:pStyle w:val="Heading1"/>
        <w:jc w:val="center"/>
      </w:pPr>
    </w:p>
    <w:p w:rsidR="00C30C3F" w:rsidRPr="004F0BAA" w:rsidRDefault="00A14B83" w:rsidP="00571094">
      <w:pPr>
        <w:pStyle w:val="Heading1"/>
        <w:jc w:val="center"/>
        <w:rPr>
          <w:sz w:val="32"/>
          <w:szCs w:val="36"/>
        </w:rPr>
      </w:pPr>
      <w:bookmarkStart w:id="0" w:name="_Toc35106797"/>
      <w:r w:rsidRPr="004F0BAA">
        <w:rPr>
          <w:sz w:val="32"/>
          <w:szCs w:val="36"/>
        </w:rPr>
        <w:t xml:space="preserve">Assignment 1: </w:t>
      </w:r>
      <w:r w:rsidR="000967D0" w:rsidRPr="004F0BAA">
        <w:rPr>
          <w:sz w:val="32"/>
          <w:szCs w:val="36"/>
        </w:rPr>
        <w:t>Biomass and Biofuel</w:t>
      </w:r>
      <w:bookmarkEnd w:id="0"/>
    </w:p>
    <w:p w:rsidR="00E13754" w:rsidRPr="004F0BAA" w:rsidRDefault="00E13754" w:rsidP="00E13754">
      <w:pPr>
        <w:rPr>
          <w:sz w:val="24"/>
          <w:szCs w:val="24"/>
        </w:rPr>
      </w:pPr>
    </w:p>
    <w:p w:rsidR="00E13754" w:rsidRDefault="00E13754">
      <w:r>
        <w:br w:type="page"/>
      </w:r>
    </w:p>
    <w:sdt>
      <w:sdtPr>
        <w:rPr>
          <w:rFonts w:asciiTheme="minorHAnsi" w:eastAsiaTheme="minorHAnsi" w:hAnsiTheme="minorHAnsi" w:cstheme="minorBidi"/>
          <w:color w:val="auto"/>
          <w:sz w:val="22"/>
          <w:szCs w:val="22"/>
        </w:rPr>
        <w:id w:val="170005989"/>
        <w:docPartObj>
          <w:docPartGallery w:val="Table of Contents"/>
          <w:docPartUnique/>
        </w:docPartObj>
      </w:sdtPr>
      <w:sdtEndPr>
        <w:rPr>
          <w:b/>
          <w:bCs/>
          <w:noProof/>
        </w:rPr>
      </w:sdtEndPr>
      <w:sdtContent>
        <w:p w:rsidR="00953599" w:rsidRPr="00231F8B" w:rsidRDefault="00953599" w:rsidP="00231F8B">
          <w:pPr>
            <w:pStyle w:val="TOCHeading"/>
            <w:spacing w:line="480" w:lineRule="auto"/>
            <w:jc w:val="center"/>
            <w:rPr>
              <w:rFonts w:ascii="Times New Roman" w:hAnsi="Times New Roman" w:cs="Times New Roman"/>
              <w:b/>
              <w:bCs/>
            </w:rPr>
          </w:pPr>
          <w:r w:rsidRPr="00231F8B">
            <w:rPr>
              <w:rFonts w:ascii="Times New Roman" w:hAnsi="Times New Roman" w:cs="Times New Roman"/>
              <w:b/>
              <w:bCs/>
            </w:rPr>
            <w:t>Table of Contents</w:t>
          </w:r>
        </w:p>
        <w:p w:rsidR="00953599" w:rsidRPr="00287F35" w:rsidRDefault="00953599" w:rsidP="00287F35">
          <w:pPr>
            <w:pStyle w:val="TOC1"/>
            <w:tabs>
              <w:tab w:val="right" w:leader="dot" w:pos="9783"/>
            </w:tabs>
            <w:spacing w:line="480" w:lineRule="auto"/>
            <w:rPr>
              <w:rFonts w:ascii="Times New Roman" w:hAnsi="Times New Roman" w:cs="Times New Roman"/>
              <w:noProof/>
              <w:sz w:val="24"/>
              <w:szCs w:val="24"/>
            </w:rPr>
          </w:pPr>
          <w:r w:rsidRPr="00287F35">
            <w:rPr>
              <w:rFonts w:ascii="Times New Roman" w:hAnsi="Times New Roman" w:cs="Times New Roman"/>
              <w:sz w:val="24"/>
              <w:szCs w:val="24"/>
            </w:rPr>
            <w:fldChar w:fldCharType="begin"/>
          </w:r>
          <w:r w:rsidRPr="00287F35">
            <w:rPr>
              <w:rFonts w:ascii="Times New Roman" w:hAnsi="Times New Roman" w:cs="Times New Roman"/>
              <w:sz w:val="24"/>
              <w:szCs w:val="24"/>
            </w:rPr>
            <w:instrText xml:space="preserve"> TOC \o "1-3" \h \z \u </w:instrText>
          </w:r>
          <w:r w:rsidRPr="00287F35">
            <w:rPr>
              <w:rFonts w:ascii="Times New Roman" w:hAnsi="Times New Roman" w:cs="Times New Roman"/>
              <w:sz w:val="24"/>
              <w:szCs w:val="24"/>
            </w:rPr>
            <w:fldChar w:fldCharType="separate"/>
          </w:r>
          <w:hyperlink w:anchor="_Toc35106797" w:history="1">
            <w:r w:rsidRPr="00287F35">
              <w:rPr>
                <w:rStyle w:val="Hyperlink"/>
                <w:rFonts w:ascii="Times New Roman" w:hAnsi="Times New Roman" w:cs="Times New Roman"/>
                <w:noProof/>
                <w:sz w:val="24"/>
                <w:szCs w:val="24"/>
              </w:rPr>
              <w:t>Assignment 1: Biomass and Biofuel</w:t>
            </w:r>
            <w:r w:rsidRPr="00287F35">
              <w:rPr>
                <w:rFonts w:ascii="Times New Roman" w:hAnsi="Times New Roman" w:cs="Times New Roman"/>
                <w:noProof/>
                <w:webHidden/>
                <w:sz w:val="24"/>
                <w:szCs w:val="24"/>
              </w:rPr>
              <w:tab/>
            </w:r>
            <w:r w:rsidRPr="00287F35">
              <w:rPr>
                <w:rFonts w:ascii="Times New Roman" w:hAnsi="Times New Roman" w:cs="Times New Roman"/>
                <w:noProof/>
                <w:webHidden/>
                <w:sz w:val="24"/>
                <w:szCs w:val="24"/>
              </w:rPr>
              <w:fldChar w:fldCharType="begin"/>
            </w:r>
            <w:r w:rsidRPr="00287F35">
              <w:rPr>
                <w:rFonts w:ascii="Times New Roman" w:hAnsi="Times New Roman" w:cs="Times New Roman"/>
                <w:noProof/>
                <w:webHidden/>
                <w:sz w:val="24"/>
                <w:szCs w:val="24"/>
              </w:rPr>
              <w:instrText xml:space="preserve"> PAGEREF _Toc35106797 \h </w:instrText>
            </w:r>
            <w:r w:rsidRPr="00287F35">
              <w:rPr>
                <w:rFonts w:ascii="Times New Roman" w:hAnsi="Times New Roman" w:cs="Times New Roman"/>
                <w:noProof/>
                <w:webHidden/>
                <w:sz w:val="24"/>
                <w:szCs w:val="24"/>
              </w:rPr>
            </w:r>
            <w:r w:rsidRPr="00287F35">
              <w:rPr>
                <w:rFonts w:ascii="Times New Roman" w:hAnsi="Times New Roman" w:cs="Times New Roman"/>
                <w:noProof/>
                <w:webHidden/>
                <w:sz w:val="24"/>
                <w:szCs w:val="24"/>
              </w:rPr>
              <w:fldChar w:fldCharType="separate"/>
            </w:r>
            <w:r w:rsidRPr="00287F35">
              <w:rPr>
                <w:rFonts w:ascii="Times New Roman" w:hAnsi="Times New Roman" w:cs="Times New Roman"/>
                <w:noProof/>
                <w:webHidden/>
                <w:sz w:val="24"/>
                <w:szCs w:val="24"/>
              </w:rPr>
              <w:t>1</w:t>
            </w:r>
            <w:r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798" w:history="1">
            <w:r w:rsidR="00953599" w:rsidRPr="00287F35">
              <w:rPr>
                <w:rStyle w:val="Hyperlink"/>
                <w:rFonts w:ascii="Times New Roman" w:hAnsi="Times New Roman" w:cs="Times New Roman"/>
                <w:noProof/>
                <w:sz w:val="24"/>
                <w:szCs w:val="24"/>
              </w:rPr>
              <w:t>1.</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Introduction</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_Toc35106798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2</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799" w:history="1">
            <w:r w:rsidR="00953599" w:rsidRPr="00287F35">
              <w:rPr>
                <w:rStyle w:val="Hyperlink"/>
                <w:rFonts w:ascii="Times New Roman" w:hAnsi="Times New Roman" w:cs="Times New Roman"/>
                <w:noProof/>
                <w:sz w:val="24"/>
                <w:szCs w:val="24"/>
              </w:rPr>
              <w:t>2.</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Methodology</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_Toc35106799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2</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800" w:history="1">
            <w:r w:rsidR="00953599" w:rsidRPr="00287F35">
              <w:rPr>
                <w:rStyle w:val="Hyperlink"/>
                <w:rFonts w:ascii="Times New Roman" w:hAnsi="Times New Roman" w:cs="Times New Roman"/>
                <w:noProof/>
                <w:sz w:val="24"/>
                <w:szCs w:val="24"/>
              </w:rPr>
              <w:t>3.</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Literature review</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_Toc35106800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2</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801" w:history="1">
            <w:r w:rsidR="00953599" w:rsidRPr="00287F35">
              <w:rPr>
                <w:rStyle w:val="Hyperlink"/>
                <w:rFonts w:ascii="Times New Roman" w:hAnsi="Times New Roman" w:cs="Times New Roman"/>
                <w:noProof/>
                <w:sz w:val="24"/>
                <w:szCs w:val="24"/>
              </w:rPr>
              <w:t>4.</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Results</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_Toc35106801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4</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802" w:history="1">
            <w:r w:rsidR="00953599" w:rsidRPr="00287F35">
              <w:rPr>
                <w:rStyle w:val="Hyperlink"/>
                <w:rFonts w:ascii="Times New Roman" w:hAnsi="Times New Roman" w:cs="Times New Roman"/>
                <w:noProof/>
                <w:sz w:val="24"/>
                <w:szCs w:val="24"/>
              </w:rPr>
              <w:t>5.</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Discussion, presentation of argument, scrutiny of information gathered and evaluation</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_Toc35106802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4</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803" w:history="1">
            <w:r w:rsidR="00953599" w:rsidRPr="00287F35">
              <w:rPr>
                <w:rStyle w:val="Hyperlink"/>
                <w:rFonts w:ascii="Times New Roman" w:hAnsi="Times New Roman" w:cs="Times New Roman"/>
                <w:noProof/>
                <w:sz w:val="24"/>
                <w:szCs w:val="24"/>
              </w:rPr>
              <w:t>6.</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Conclusion</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_Toc35106803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4</w:t>
            </w:r>
            <w:r w:rsidR="00953599" w:rsidRPr="00287F35">
              <w:rPr>
                <w:rFonts w:ascii="Times New Roman" w:hAnsi="Times New Roman" w:cs="Times New Roman"/>
                <w:noProof/>
                <w:webHidden/>
                <w:sz w:val="24"/>
                <w:szCs w:val="24"/>
              </w:rPr>
              <w:fldChar w:fldCharType="end"/>
            </w:r>
          </w:hyperlink>
        </w:p>
        <w:p w:rsidR="00953599" w:rsidRPr="00287F35" w:rsidRDefault="007F0B18" w:rsidP="00287F35">
          <w:pPr>
            <w:pStyle w:val="TOC1"/>
            <w:tabs>
              <w:tab w:val="left" w:pos="440"/>
              <w:tab w:val="right" w:leader="dot" w:pos="9783"/>
            </w:tabs>
            <w:spacing w:line="480" w:lineRule="auto"/>
            <w:rPr>
              <w:rFonts w:ascii="Times New Roman" w:hAnsi="Times New Roman" w:cs="Times New Roman"/>
              <w:noProof/>
              <w:sz w:val="24"/>
              <w:szCs w:val="24"/>
            </w:rPr>
          </w:pPr>
          <w:hyperlink w:anchor="_Toc35106804" w:history="1">
            <w:r w:rsidR="00953599" w:rsidRPr="00287F35">
              <w:rPr>
                <w:rStyle w:val="Hyperlink"/>
                <w:rFonts w:ascii="Times New Roman" w:hAnsi="Times New Roman" w:cs="Times New Roman"/>
                <w:noProof/>
                <w:sz w:val="24"/>
                <w:szCs w:val="24"/>
              </w:rPr>
              <w:t>7.</w:t>
            </w:r>
            <w:r w:rsidR="00953599" w:rsidRPr="00287F35">
              <w:rPr>
                <w:rFonts w:ascii="Times New Roman" w:hAnsi="Times New Roman" w:cs="Times New Roman"/>
                <w:noProof/>
                <w:sz w:val="24"/>
                <w:szCs w:val="24"/>
              </w:rPr>
              <w:tab/>
            </w:r>
            <w:r w:rsidR="00953599" w:rsidRPr="00287F35">
              <w:rPr>
                <w:rStyle w:val="Hyperlink"/>
                <w:rFonts w:ascii="Times New Roman" w:hAnsi="Times New Roman" w:cs="Times New Roman"/>
                <w:noProof/>
                <w:sz w:val="24"/>
                <w:szCs w:val="24"/>
              </w:rPr>
              <w:t>References</w:t>
            </w:r>
            <w:r w:rsidR="00953599" w:rsidRPr="00287F35">
              <w:rPr>
                <w:rFonts w:ascii="Times New Roman" w:hAnsi="Times New Roman" w:cs="Times New Roman"/>
                <w:noProof/>
                <w:webHidden/>
                <w:sz w:val="24"/>
                <w:szCs w:val="24"/>
              </w:rPr>
              <w:tab/>
            </w:r>
            <w:r w:rsidR="00953599" w:rsidRPr="00287F35">
              <w:rPr>
                <w:rFonts w:ascii="Times New Roman" w:hAnsi="Times New Roman" w:cs="Times New Roman"/>
                <w:noProof/>
                <w:webHidden/>
                <w:sz w:val="24"/>
                <w:szCs w:val="24"/>
              </w:rPr>
              <w:fldChar w:fldCharType="begin"/>
            </w:r>
            <w:r w:rsidR="00953599" w:rsidRPr="00287F35">
              <w:rPr>
                <w:rFonts w:ascii="Times New Roman" w:hAnsi="Times New Roman" w:cs="Times New Roman"/>
                <w:noProof/>
                <w:webHidden/>
                <w:sz w:val="24"/>
                <w:szCs w:val="24"/>
              </w:rPr>
              <w:instrText xml:space="preserve"> PAGEREF _Toc35106804 \h </w:instrText>
            </w:r>
            <w:r w:rsidR="00953599" w:rsidRPr="00287F35">
              <w:rPr>
                <w:rFonts w:ascii="Times New Roman" w:hAnsi="Times New Roman" w:cs="Times New Roman"/>
                <w:noProof/>
                <w:webHidden/>
                <w:sz w:val="24"/>
                <w:szCs w:val="24"/>
              </w:rPr>
            </w:r>
            <w:r w:rsidR="00953599" w:rsidRPr="00287F35">
              <w:rPr>
                <w:rFonts w:ascii="Times New Roman" w:hAnsi="Times New Roman" w:cs="Times New Roman"/>
                <w:noProof/>
                <w:webHidden/>
                <w:sz w:val="24"/>
                <w:szCs w:val="24"/>
              </w:rPr>
              <w:fldChar w:fldCharType="separate"/>
            </w:r>
            <w:r w:rsidR="00953599" w:rsidRPr="00287F35">
              <w:rPr>
                <w:rFonts w:ascii="Times New Roman" w:hAnsi="Times New Roman" w:cs="Times New Roman"/>
                <w:noProof/>
                <w:webHidden/>
                <w:sz w:val="24"/>
                <w:szCs w:val="24"/>
              </w:rPr>
              <w:t>5</w:t>
            </w:r>
            <w:r w:rsidR="00953599" w:rsidRPr="00287F35">
              <w:rPr>
                <w:rFonts w:ascii="Times New Roman" w:hAnsi="Times New Roman" w:cs="Times New Roman"/>
                <w:noProof/>
                <w:webHidden/>
                <w:sz w:val="24"/>
                <w:szCs w:val="24"/>
              </w:rPr>
              <w:fldChar w:fldCharType="end"/>
            </w:r>
          </w:hyperlink>
        </w:p>
        <w:p w:rsidR="00953599" w:rsidRDefault="00953599" w:rsidP="00287F35">
          <w:pPr>
            <w:spacing w:line="480" w:lineRule="auto"/>
          </w:pPr>
          <w:r w:rsidRPr="00287F35">
            <w:rPr>
              <w:rFonts w:ascii="Times New Roman" w:hAnsi="Times New Roman" w:cs="Times New Roman"/>
              <w:b/>
              <w:bCs/>
              <w:noProof/>
              <w:sz w:val="24"/>
              <w:szCs w:val="24"/>
            </w:rPr>
            <w:fldChar w:fldCharType="end"/>
          </w:r>
        </w:p>
      </w:sdtContent>
    </w:sdt>
    <w:p w:rsidR="00E13754" w:rsidRPr="00E13754" w:rsidRDefault="005C7881" w:rsidP="00E13754">
      <w:r>
        <w:br w:type="page"/>
      </w:r>
    </w:p>
    <w:p w:rsidR="00106E21" w:rsidRDefault="00106E21" w:rsidP="00A20BAF">
      <w:pPr>
        <w:pStyle w:val="Heading1"/>
        <w:numPr>
          <w:ilvl w:val="0"/>
          <w:numId w:val="2"/>
        </w:numPr>
      </w:pPr>
      <w:bookmarkStart w:id="1" w:name="_Toc35106798"/>
      <w:r w:rsidRPr="00A20BAF">
        <w:lastRenderedPageBreak/>
        <w:t>Introduction</w:t>
      </w:r>
      <w:bookmarkEnd w:id="1"/>
      <w:r w:rsidRPr="00A20BAF">
        <w:t xml:space="preserve"> </w:t>
      </w:r>
    </w:p>
    <w:p w:rsidR="00B65475" w:rsidRDefault="00B65475" w:rsidP="00B65475">
      <w:r>
        <w:t xml:space="preserve">As logical research keeps on handling difficulties corresponding to overall patterns, a mind-boggling assemblage of studies concentrating on bio-vitality when contrasted with different sustainable sources represent the criticalness of bio-vitality has the most basic wellspring power source for the future and level of its future(middle, low and highest). It is, thus, together with different alternatives, fit for proposing the needs required in the advanced community, both HRI and RFS and in many districts of the globe. Adaptability and inexhaustibility are–among other many viewpoints–critical advantages of </w:t>
      </w:r>
      <w:r w:rsidR="008B612D">
        <w:t>bioenergy</w:t>
      </w:r>
      <w:r>
        <w:t xml:space="preserve"> as an elective choice of vitality. It is nothing to with reality when researcher an experience who take this report and focus on biomass and biofuel because the reality is something different from what people see.</w:t>
      </w:r>
    </w:p>
    <w:p w:rsidR="00B65475" w:rsidRDefault="00B65475" w:rsidP="00B65475">
      <w:r>
        <w:t>The aim of this study is to know-how about some measure that needs to be taken and the reflection of law and its way to run by the US government and the UK combined work on the biomass and biofuel, which came up with wonderful outcomes ahead of this report. The question is raised in minds that why RHI and RFS were necessary to tackle, for that record it was related to the atmosphere and environment and lives of humans which were set up in Paris. This report will also tell you the tactics they used to cope with the problems and hurdles (Bridgwater, 2006).</w:t>
      </w:r>
    </w:p>
    <w:p w:rsidR="00B65475" w:rsidRPr="00B65475" w:rsidRDefault="00B65475" w:rsidP="00B65475"/>
    <w:p w:rsidR="00106E21" w:rsidRDefault="00106E21" w:rsidP="00A20BAF">
      <w:pPr>
        <w:pStyle w:val="Heading1"/>
        <w:numPr>
          <w:ilvl w:val="0"/>
          <w:numId w:val="2"/>
        </w:numPr>
      </w:pPr>
      <w:bookmarkStart w:id="2" w:name="_Toc35106799"/>
      <w:r>
        <w:t>Methodology</w:t>
      </w:r>
      <w:bookmarkEnd w:id="2"/>
      <w:r>
        <w:t xml:space="preserve"> </w:t>
      </w:r>
    </w:p>
    <w:p w:rsidR="00106E21" w:rsidRPr="00071F30" w:rsidRDefault="00071F30" w:rsidP="00106E21">
      <w:r w:rsidRPr="00071F30">
        <w:t xml:space="preserve">This investigation embraced a subjective research method. This is an exploration structure that permits the analyst to </w:t>
      </w:r>
      <w:r w:rsidR="008B612D" w:rsidRPr="00071F30">
        <w:t>deliberately under</w:t>
      </w:r>
      <w:r w:rsidRPr="00071F30">
        <w:t xml:space="preserve"> scrutiny and relegate implications to them. Marvels under scrutiny were the worldwide biomass, biofuel in association with motivating forces, for example, the United Kingdom and its initiatives RHI, and from the American side, it was the RFS. Logical understanding makes some sense the agenda behind them of both countries was to achieve COP21 targets (Petrus, and Noordermeer, 2006).</w:t>
      </w:r>
    </w:p>
    <w:p w:rsidR="00106E21" w:rsidRDefault="00106E21" w:rsidP="009F2BC8">
      <w:pPr>
        <w:pStyle w:val="Heading1"/>
        <w:numPr>
          <w:ilvl w:val="0"/>
          <w:numId w:val="2"/>
        </w:numPr>
      </w:pPr>
      <w:bookmarkStart w:id="3" w:name="_Toc35106800"/>
      <w:r w:rsidRPr="00742FBA">
        <w:t>Literature review</w:t>
      </w:r>
      <w:bookmarkEnd w:id="3"/>
      <w:r w:rsidRPr="00742FBA">
        <w:t xml:space="preserve"> </w:t>
      </w:r>
    </w:p>
    <w:p w:rsidR="00071F30" w:rsidRDefault="00071F30" w:rsidP="00071F30">
      <w:r>
        <w:t xml:space="preserve">The COP21 gathering in Paris, France offered a definitive open door to arrive at an overall understanding planned for controlling environmental change emerging from human activity. The way that right around 200 countries made duties to diminish the overall temperature ascends to beneath 2oC before the current era has to be accomplished now. </w:t>
      </w:r>
    </w:p>
    <w:p w:rsidR="00071F30" w:rsidRDefault="00071F30" w:rsidP="00071F30">
      <w:r>
        <w:t>The COP21 supported the best of its production, which has introduced by and reduced its focus to 30 percent by 2020 that a necessary worldwide activity against environmental change and a dangerous atmospheric deviation. This implies the locale should audit its 2030 aim of bringing GHG down to 40 percent and, rethink the way towards understanding the aim of leaving. The RHI is a brilliantly planned activity for bringing down the general worldwide GHC discharge later on. The EU does not have an appropriate instrument for convincing part states to accomplish their environmental change (Daystar et, al., 2014).</w:t>
      </w:r>
    </w:p>
    <w:p w:rsidR="00071F30" w:rsidRDefault="00071F30" w:rsidP="00071F30">
      <w:r>
        <w:t>This determination is invited us to offers the help singular individuals to urge vitality utilization of the products and the sources from which we can get advantages from, the two of which are basic fixings in the more extensive aim of easing environmental change and bringing down GHG emanations. The RHI activity acknowledged the UK's commitment and present away that the nation expects to follow to acknowledge EU goals. This activity comes at a suitable time since the vitality advertises is unregulated and activity as it requires a residential guideline to animate advancement. The RHI activity will probably assume a focal job in the improvement of area vitality organizes that surely support the UK to embrace the success and target the Eu environment (Boundy, and Davis, 2010).</w:t>
      </w:r>
    </w:p>
    <w:p w:rsidR="00071F30" w:rsidRDefault="00071F30" w:rsidP="00071F30">
      <w:r>
        <w:t xml:space="preserve">In 2012, it was ideal to help increase and use the full resources from the sources in terms of energy and biomass The RHI was presented in the UK to help organizations, family units, good cause, and open </w:t>
      </w:r>
      <w:r>
        <w:lastRenderedPageBreak/>
        <w:t xml:space="preserve">substances in changing from customary types of vitality to elective, low carbon vitality sources. Biomass and power incentives and the UK program offered significant time motivation for their respective clients and company to present some power source. These frameworks incorporate sun oriented warm, heat siphons and biomass boilers, mostly consuming wood pellets. Also, the RHI plot plans to advance the elective vitality advances. That was significance enough to hold the grudges in the long run. There were a number of activities of </w:t>
      </w:r>
      <w:r w:rsidR="008B612D">
        <w:t>bioenergy</w:t>
      </w:r>
      <w:r>
        <w:t xml:space="preserve"> to support the objectives of UK’s agenda and it was supposed to accomplish before 2020.</w:t>
      </w:r>
    </w:p>
    <w:p w:rsidR="00071F30" w:rsidRDefault="00071F30" w:rsidP="00071F30">
      <w:r>
        <w:t>Although, the RFS have to have make the utilization of biofuel and its accommodation part. A definitive aim is to limit the GHC discharges, increment vitality security just as limit natural results. The US RFS adds to various monetary and natural improvements. The RFS, for instance, has just helped by multiplying the number of biofuels used in the vehicle area in the US from 2007 to 2013, thus lessening the nation's general carbon outflows.</w:t>
      </w:r>
    </w:p>
    <w:p w:rsidR="00071F30" w:rsidRDefault="00071F30" w:rsidP="00071F30">
      <w:r>
        <w:t xml:space="preserve">The RHI is being supported activity to make the realization in the hearts of the individual who used their services at their homes and their business and made the advance of </w:t>
      </w:r>
      <w:r w:rsidR="008B612D">
        <w:t>its</w:t>
      </w:r>
      <w:r>
        <w:t xml:space="preserve"> vitality for the UK.</w:t>
      </w:r>
      <w:r w:rsidR="008B612D">
        <w:t xml:space="preserve"> </w:t>
      </w:r>
      <w:r>
        <w:t>Global Biomass and Bio powers Incentives the RHI offer private purchasers a financial help plot, which gives long haul monetary impetuses to introducing elective vitality innovations that produce vitality. Besides, open to non-household fragments of the economy including business, open, mechanical segment and charitable elements with qualified installations.</w:t>
      </w:r>
    </w:p>
    <w:p w:rsidR="00071F30" w:rsidRDefault="00071F30" w:rsidP="00071F30">
      <w:r>
        <w:t>The RFS requests that we should mix elective vitality into the nation's vehicle fuel with the general goal of expanding the utilization of biofuels to 36 billion gallons by 2022. Every elective vitality classification under the RFS conspire must produce lower rates of GHG when contrasted with the fossil vitality it replaces (Cannell, 2003).</w:t>
      </w:r>
    </w:p>
    <w:p w:rsidR="00071F30" w:rsidRDefault="00071F30" w:rsidP="00071F30">
      <w:r>
        <w:t xml:space="preserve">For time being from 2010 to 2015, it was their sole aim to burn 25 million biofuels and biomass. In the meantime, during the 2014-2015 year, the department of energy source spent 15million. These applications were taken in action in 2015 and starting in 2015 where their strong rules added at the expense of the task force. </w:t>
      </w:r>
    </w:p>
    <w:p w:rsidR="00071F30" w:rsidRDefault="00071F30" w:rsidP="00071F30">
      <w:r>
        <w:t xml:space="preserve">RFS have to have the biggest contributor among all the creation of biomass and biofuel which decrease its limits there is plenty of issues that lift them high in the sky. The present RFS structure regularly prompts market and strategy unconventionality of volume orders and frequently traps committed gatherings and makers in a consistent bind. Cutoff points to the creation of ethanol strife with the objects of US to make the bigger picture of utilization of </w:t>
      </w:r>
      <w:r w:rsidR="00BB4709">
        <w:t>bioenergy</w:t>
      </w:r>
      <w:r>
        <w:t>.</w:t>
      </w:r>
    </w:p>
    <w:p w:rsidR="00071F30" w:rsidRPr="00071F30" w:rsidRDefault="00071F30" w:rsidP="00071F30">
      <w:r>
        <w:t xml:space="preserve">UK's HRI supposed to take down GHG, the US RFS was the best option for them to take them down without getting more damage which was COP21 targets. RFS has the power to admit and enter the territory of a biological system, and no renewable energy can rule over it but non-renewable. Also, the utilization of commands, all the resources invested in the category of biomass and biofuel will bring the outcome one day based on their belief. Before the foundation of the RFS, the utilization of biofuels was moderate in the United States; the utilization of biofuels has extended to 7.1% in 2013 from only 3% in 2006. Thusly, the expansion in the take-up of </w:t>
      </w:r>
      <w:r w:rsidR="009C72C4">
        <w:t>bioenergy</w:t>
      </w:r>
      <w:r>
        <w:t xml:space="preserve"> and the relocation of conventional wellsprings of vitality has brought down GHC submit in the America’s transportation society. The EU achieve of the RFS in the US and hopefully going to accomplish its objectives within the next 10 years which was bring down the GHG emanation by 40% or over 40%.</w:t>
      </w:r>
    </w:p>
    <w:p w:rsidR="00106E21" w:rsidRDefault="00106E21" w:rsidP="00776840">
      <w:pPr>
        <w:pStyle w:val="Heading1"/>
        <w:numPr>
          <w:ilvl w:val="0"/>
          <w:numId w:val="2"/>
        </w:numPr>
      </w:pPr>
      <w:bookmarkStart w:id="4" w:name="_Toc35106801"/>
      <w:r w:rsidRPr="00742FBA">
        <w:t>Results</w:t>
      </w:r>
      <w:bookmarkEnd w:id="4"/>
      <w:r w:rsidRPr="00742FBA">
        <w:t xml:space="preserve"> </w:t>
      </w:r>
    </w:p>
    <w:p w:rsidR="00C95899" w:rsidRPr="00C95899" w:rsidRDefault="00C95899" w:rsidP="00C95899">
      <w:r w:rsidRPr="00C95899">
        <w:t xml:space="preserve">Results can shock and astounding because there isn't the independent relationship that should be available on the board, it was biological relationship and fulfilling their objectives at the end. What could </w:t>
      </w:r>
      <w:r w:rsidR="003941A6" w:rsidRPr="00C95899">
        <w:t>possibly</w:t>
      </w:r>
      <w:r w:rsidRPr="00C95899">
        <w:t xml:space="preserve"> be the case 2050 to 2070, which means they used to predict what they can do with their Bioenergy and biofuel </w:t>
      </w:r>
      <w:r w:rsidRPr="00C95899">
        <w:lastRenderedPageBreak/>
        <w:t xml:space="preserve">activity? Besides, </w:t>
      </w:r>
      <w:r w:rsidR="009916AC" w:rsidRPr="00C95899">
        <w:t>most</w:t>
      </w:r>
      <w:r w:rsidRPr="00C95899">
        <w:t xml:space="preserve"> of the countries were in the favor of the two biomass and biofuel and towards the efforts we put in the </w:t>
      </w:r>
      <w:r w:rsidR="003D3CC6" w:rsidRPr="00C95899">
        <w:t>field. The</w:t>
      </w:r>
      <w:r w:rsidRPr="00C95899">
        <w:t xml:space="preserve"> assessment show from the various and distinct papers which has to be the leading partner among all countries based on their strategy gas surges. These were one of the most compelling factors of all time when lives of people and their resources were at stake and this was the climate change effect as well if we look deeper in the problem domain of why they created energy and biofuel because to avoid the discrepancy in the head of their lives and the respective countries lives. Likewise, UK and US. There main agenda to make famous the COP21 in Paris. The sets were open to join the EU and make the inspirations to the world so the more countries can support the bio-energy use in the critical system which leads to environmental effects. The statistics showed the reality that the UK must ensure the utilization </w:t>
      </w:r>
      <w:r w:rsidR="009916AC" w:rsidRPr="00C95899">
        <w:t>of</w:t>
      </w:r>
      <w:r w:rsidRPr="00C95899">
        <w:t xml:space="preserve"> the RHI and impediments that to reduce the GHG releases to some% down than what is current percentage. Which could be possibly done by 2020 up to 30% lumsum?</w:t>
      </w:r>
    </w:p>
    <w:p w:rsidR="00106E21" w:rsidRDefault="00106E21" w:rsidP="00B020D9">
      <w:pPr>
        <w:pStyle w:val="Heading1"/>
        <w:numPr>
          <w:ilvl w:val="0"/>
          <w:numId w:val="2"/>
        </w:numPr>
      </w:pPr>
      <w:bookmarkStart w:id="5" w:name="_Toc35106802"/>
      <w:r w:rsidRPr="00633BC0">
        <w:t>Discussion, presentation of argument, scrutiny of information gathered and evaluation</w:t>
      </w:r>
      <w:bookmarkEnd w:id="5"/>
      <w:r w:rsidRPr="00633BC0">
        <w:t xml:space="preserve"> </w:t>
      </w:r>
    </w:p>
    <w:p w:rsidR="00272EB7" w:rsidRDefault="00272EB7" w:rsidP="00272EB7">
      <w:r>
        <w:t xml:space="preserve">RHI and RFS were one best </w:t>
      </w:r>
      <w:r w:rsidR="009916AC">
        <w:t>initiative</w:t>
      </w:r>
      <w:r>
        <w:t xml:space="preserve"> that took by the UK and US combined which could change the destiny of the world. Their sole idea was to biomass and biofuel energy and reduction of GHG in terms of their poor service and taking a lot of money for the services they provide. Global Biomass and Bio fill Incentives The investigation set up that this the 'last' chance to accomplish an internationally authoritative understanding planned for managing environmental change. The investigation noticed that to understand the objectives of COP21, at that point activities, for example, we must set the RHI and the RFS up by a singular part arranges (Viñuales et, al., 2017).</w:t>
      </w:r>
    </w:p>
    <w:p w:rsidR="00272EB7" w:rsidRDefault="00272EB7" w:rsidP="00272EB7">
      <w:r>
        <w:t>Fortunately, it was the breakthrough when it was introduced among the two respective countries, United Nations and America. However, the examination uncovered that for the aim to bring down the worldwide temperature to 2oC level to be accomplished the carbon lack of bias needs to turn into a reality. Carbon lack of bias methods the capacity to acknowledge zero GHG emanations by finding harmony between the measures of carbon discharged with an equivalent sum kept from the atmosphere. The examination noticed that the predominant approach instruments, laws and guidelines won't permit the EU to accomplish this aim on schedule. It is, along these lines, basic for the EU to reconsider its vitality and atmosphere strategy objectives for 2020 just as 2030 and reclassify a way towards accomplishing the zero emanations focus by 2050 (Choo et, al., 2020).</w:t>
      </w:r>
    </w:p>
    <w:p w:rsidR="00106E21" w:rsidRDefault="00106E21" w:rsidP="00071F9B">
      <w:pPr>
        <w:pStyle w:val="Heading1"/>
        <w:numPr>
          <w:ilvl w:val="0"/>
          <w:numId w:val="2"/>
        </w:numPr>
        <w:rPr>
          <w:rFonts w:cs="Times New Roman"/>
        </w:rPr>
      </w:pPr>
      <w:bookmarkStart w:id="6" w:name="_Toc35106803"/>
      <w:r w:rsidRPr="005437F6">
        <w:rPr>
          <w:rFonts w:cs="Times New Roman"/>
        </w:rPr>
        <w:t>Conclusion</w:t>
      </w:r>
      <w:bookmarkEnd w:id="6"/>
      <w:r w:rsidRPr="005437F6">
        <w:rPr>
          <w:rFonts w:cs="Times New Roman"/>
        </w:rPr>
        <w:t xml:space="preserve"> </w:t>
      </w:r>
    </w:p>
    <w:p w:rsidR="00272EB7" w:rsidRDefault="00272EB7" w:rsidP="00272EB7">
      <w:r w:rsidRPr="00272EB7">
        <w:t xml:space="preserve">More or less, the predominant overall vitality patterns like expanded interest and costs for vitality, the possibility of lasting environmental change, large varieties across locales just as expanded interest for a protected future and its score that is decreasing continuously earth generous and proficient vitality framework. Some truths need to be disclosed and there is some critical reality that needs to be told on behalf of biomass and biofuel. For instance, RHI and RFS building the ideal division under their separate nations in like manner, the UK and the US. The COP21 meeting in Paris underscored the criticalness of bringing GHG spreads down to levels underneath 2oC by 2030 and sparks, for instance, the RHI and the RFS offer space for the affirmation of such targets. This report reasons that by observing the importance of the COP21 objectives–the European Union needs to constrain its nursery gasses surges in 2030 by 40 percent. I welcome this intention as it offers the help particular people require asking essentialness efficiency and to source imperativeness from elective resources, the two of which are fundamental fixings in the </w:t>
      </w:r>
      <w:r w:rsidR="009916AC" w:rsidRPr="00272EB7">
        <w:t>broader</w:t>
      </w:r>
      <w:r w:rsidRPr="00272EB7">
        <w:t xml:space="preserve"> goal of lightening natural change and cutting down GHG releases. In addition, the article has a few likenesses to the most elite approach to accomplish the work that the EU used to limit it.</w:t>
      </w:r>
    </w:p>
    <w:p w:rsidR="00272EB7" w:rsidRPr="00272EB7" w:rsidRDefault="00272EB7" w:rsidP="00272EB7"/>
    <w:p w:rsidR="00FB5C56" w:rsidRPr="00137A35" w:rsidRDefault="009916AC" w:rsidP="007F0B18">
      <w:pPr>
        <w:pStyle w:val="Heading1"/>
        <w:numPr>
          <w:ilvl w:val="0"/>
          <w:numId w:val="2"/>
        </w:numPr>
      </w:pPr>
      <w:bookmarkStart w:id="7" w:name="_GoBack"/>
      <w:bookmarkEnd w:id="7"/>
      <w:r w:rsidRPr="00137A35">
        <w:lastRenderedPageBreak/>
        <w:t>References:</w:t>
      </w:r>
    </w:p>
    <w:p w:rsidR="00FB5C56" w:rsidRPr="005117F1" w:rsidRDefault="00FB5C56"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Bridgwater, T., 2006. Biomass for energy. </w:t>
      </w:r>
      <w:r w:rsidRPr="005117F1">
        <w:rPr>
          <w:rFonts w:ascii="Times New Roman" w:hAnsi="Times New Roman" w:cs="Times New Roman"/>
          <w:i/>
          <w:iCs/>
          <w:sz w:val="24"/>
          <w:szCs w:val="24"/>
          <w:shd w:val="clear" w:color="auto" w:fill="FFFFFF"/>
        </w:rPr>
        <w:t>Journal of the Science of Food and Agriculture</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86</w:t>
      </w:r>
      <w:r w:rsidRPr="005117F1">
        <w:rPr>
          <w:rFonts w:ascii="Times New Roman" w:hAnsi="Times New Roman" w:cs="Times New Roman"/>
          <w:sz w:val="24"/>
          <w:szCs w:val="24"/>
          <w:shd w:val="clear" w:color="auto" w:fill="FFFFFF"/>
        </w:rPr>
        <w:t>(12), pp.1755-1768.</w:t>
      </w:r>
    </w:p>
    <w:p w:rsidR="007B332F" w:rsidRPr="005117F1" w:rsidRDefault="007B332F"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Boundy, R.G. and Davis, S.C., 2010. </w:t>
      </w:r>
      <w:r w:rsidRPr="005117F1">
        <w:rPr>
          <w:rFonts w:ascii="Times New Roman" w:hAnsi="Times New Roman" w:cs="Times New Roman"/>
          <w:i/>
          <w:iCs/>
          <w:sz w:val="24"/>
          <w:szCs w:val="24"/>
          <w:shd w:val="clear" w:color="auto" w:fill="FFFFFF"/>
        </w:rPr>
        <w:t>Biomass Energy Data Book: Edition 3</w:t>
      </w:r>
      <w:r w:rsidRPr="005117F1">
        <w:rPr>
          <w:rFonts w:ascii="Times New Roman" w:hAnsi="Times New Roman" w:cs="Times New Roman"/>
          <w:sz w:val="24"/>
          <w:szCs w:val="24"/>
          <w:shd w:val="clear" w:color="auto" w:fill="FFFFFF"/>
        </w:rPr>
        <w:t> (No. ORNL/TM-2011/43). Oak Ridge National Lab.</w:t>
      </w:r>
      <w:r w:rsidR="002255DA" w:rsidRPr="005117F1">
        <w:rPr>
          <w:rFonts w:ascii="Times New Roman" w:hAnsi="Times New Roman" w:cs="Times New Roman"/>
          <w:sz w:val="24"/>
          <w:szCs w:val="24"/>
          <w:shd w:val="clear" w:color="auto" w:fill="FFFFFF"/>
        </w:rPr>
        <w:t xml:space="preserve"> </w:t>
      </w:r>
      <w:r w:rsidRPr="005117F1">
        <w:rPr>
          <w:rFonts w:ascii="Times New Roman" w:hAnsi="Times New Roman" w:cs="Times New Roman"/>
          <w:sz w:val="24"/>
          <w:szCs w:val="24"/>
          <w:shd w:val="clear" w:color="auto" w:fill="FFFFFF"/>
        </w:rPr>
        <w:t>(ORNL), Oak Ridge, TN (United States).</w:t>
      </w:r>
    </w:p>
    <w:p w:rsidR="00E34199" w:rsidRPr="005117F1" w:rsidRDefault="00E34199"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Cannell, M.G., 2003. Carbon sequestration and biomass energy offset: theoretical, potential and achievable capacities globally, in Europe and the UK. </w:t>
      </w:r>
      <w:r w:rsidRPr="005117F1">
        <w:rPr>
          <w:rFonts w:ascii="Times New Roman" w:hAnsi="Times New Roman" w:cs="Times New Roman"/>
          <w:i/>
          <w:iCs/>
          <w:sz w:val="24"/>
          <w:szCs w:val="24"/>
          <w:shd w:val="clear" w:color="auto" w:fill="FFFFFF"/>
        </w:rPr>
        <w:t>Biomass and Bioenergy</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24</w:t>
      </w:r>
      <w:r w:rsidRPr="005117F1">
        <w:rPr>
          <w:rFonts w:ascii="Times New Roman" w:hAnsi="Times New Roman" w:cs="Times New Roman"/>
          <w:sz w:val="24"/>
          <w:szCs w:val="24"/>
          <w:shd w:val="clear" w:color="auto" w:fill="FFFFFF"/>
        </w:rPr>
        <w:t>(2), pp.97-116.</w:t>
      </w:r>
    </w:p>
    <w:p w:rsidR="008F56B3" w:rsidRPr="005117F1" w:rsidRDefault="008F56B3"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Choo, M.Y., Oi, L.E., Ling, T.C., Ng, E.P., Lee, H.V. and Juan, J.C., 2020. Conversion of Microalgae Biomass to Biofuels. In </w:t>
      </w:r>
      <w:r w:rsidRPr="005117F1">
        <w:rPr>
          <w:rFonts w:ascii="Times New Roman" w:hAnsi="Times New Roman" w:cs="Times New Roman"/>
          <w:i/>
          <w:iCs/>
          <w:sz w:val="24"/>
          <w:szCs w:val="24"/>
          <w:shd w:val="clear" w:color="auto" w:fill="FFFFFF"/>
        </w:rPr>
        <w:t>Microalgae Cultivation for Biofuels Production</w:t>
      </w:r>
      <w:r w:rsidRPr="005117F1">
        <w:rPr>
          <w:rFonts w:ascii="Times New Roman" w:hAnsi="Times New Roman" w:cs="Times New Roman"/>
          <w:sz w:val="24"/>
          <w:szCs w:val="24"/>
          <w:shd w:val="clear" w:color="auto" w:fill="FFFFFF"/>
        </w:rPr>
        <w:t> (pp. 149-161). Academic Press.</w:t>
      </w:r>
    </w:p>
    <w:p w:rsidR="00466B92" w:rsidRPr="005117F1" w:rsidRDefault="00466B92"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Daystar, J., Gonzalez, R., Reeb, C., Venditti, R.A., Treasure, T., Abt, R. and Kelley, S., 2014. Economics, environmental impacts, and supply chain analysis of cellulosic biomass for biofuels in the southern US: Pine, eucalyptus, unmanaged hardwoods, forest residues, switchgrass, and sweet sorghum. </w:t>
      </w:r>
      <w:r w:rsidRPr="005117F1">
        <w:rPr>
          <w:rFonts w:ascii="Times New Roman" w:hAnsi="Times New Roman" w:cs="Times New Roman"/>
          <w:i/>
          <w:iCs/>
          <w:sz w:val="24"/>
          <w:szCs w:val="24"/>
          <w:shd w:val="clear" w:color="auto" w:fill="FFFFFF"/>
        </w:rPr>
        <w:t>BioResources</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9</w:t>
      </w:r>
      <w:r w:rsidRPr="005117F1">
        <w:rPr>
          <w:rFonts w:ascii="Times New Roman" w:hAnsi="Times New Roman" w:cs="Times New Roman"/>
          <w:sz w:val="24"/>
          <w:szCs w:val="24"/>
          <w:shd w:val="clear" w:color="auto" w:fill="FFFFFF"/>
        </w:rPr>
        <w:t>(1), pp.393-444.</w:t>
      </w:r>
    </w:p>
    <w:p w:rsidR="00830FD4" w:rsidRPr="005117F1" w:rsidRDefault="00830FD4" w:rsidP="00106E21">
      <w:pPr>
        <w:rPr>
          <w:rFonts w:ascii="Times New Roman" w:hAnsi="Times New Roman" w:cs="Times New Roman"/>
          <w:sz w:val="24"/>
          <w:szCs w:val="24"/>
          <w:shd w:val="clear" w:color="auto" w:fill="FFFFFF"/>
        </w:rPr>
      </w:pPr>
      <w:r w:rsidRPr="005117F1">
        <w:rPr>
          <w:rFonts w:ascii="Times New Roman" w:hAnsi="Times New Roman" w:cs="Times New Roman"/>
          <w:spacing w:val="8"/>
          <w:sz w:val="24"/>
          <w:szCs w:val="24"/>
          <w:shd w:val="clear" w:color="auto" w:fill="FFFFFF"/>
        </w:rPr>
        <w:t>Viñuales, JE, Depledge, J, Reiner, DM, &amp; Lees, E 2017, ‘Climate policy after the Paris 2015 climate conference’, </w:t>
      </w:r>
      <w:r w:rsidRPr="005117F1">
        <w:rPr>
          <w:rStyle w:val="Emphasis"/>
          <w:rFonts w:ascii="Times New Roman" w:hAnsi="Times New Roman" w:cs="Times New Roman"/>
          <w:spacing w:val="8"/>
          <w:sz w:val="24"/>
          <w:szCs w:val="24"/>
          <w:shd w:val="clear" w:color="auto" w:fill="FFFFFF"/>
        </w:rPr>
        <w:t>Climate Policy (Earthscan)</w:t>
      </w:r>
      <w:r w:rsidRPr="005117F1">
        <w:rPr>
          <w:rFonts w:ascii="Times New Roman" w:hAnsi="Times New Roman" w:cs="Times New Roman"/>
          <w:spacing w:val="8"/>
          <w:sz w:val="24"/>
          <w:szCs w:val="24"/>
          <w:shd w:val="clear" w:color="auto" w:fill="FFFFFF"/>
        </w:rPr>
        <w:t>, vol. 17, no. 1, pp. 1-8. Global Biomass and Biofuels Incentives</w:t>
      </w:r>
    </w:p>
    <w:p w:rsidR="003B635B" w:rsidRPr="005117F1" w:rsidRDefault="00F96E97"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Hoekman, S.K., 2009. Biofuels in the US–challenges and opportunities. </w:t>
      </w:r>
      <w:r w:rsidRPr="005117F1">
        <w:rPr>
          <w:rFonts w:ascii="Times New Roman" w:hAnsi="Times New Roman" w:cs="Times New Roman"/>
          <w:i/>
          <w:iCs/>
          <w:sz w:val="24"/>
          <w:szCs w:val="24"/>
          <w:shd w:val="clear" w:color="auto" w:fill="FFFFFF"/>
        </w:rPr>
        <w:t>Renewable energy</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34</w:t>
      </w:r>
      <w:r w:rsidRPr="005117F1">
        <w:rPr>
          <w:rFonts w:ascii="Times New Roman" w:hAnsi="Times New Roman" w:cs="Times New Roman"/>
          <w:sz w:val="24"/>
          <w:szCs w:val="24"/>
          <w:shd w:val="clear" w:color="auto" w:fill="FFFFFF"/>
        </w:rPr>
        <w:t>(1), pp.14-22.</w:t>
      </w:r>
    </w:p>
    <w:p w:rsidR="00A937BA" w:rsidRPr="005117F1" w:rsidRDefault="00A937BA"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Thornley, P., Upham, P. and Tomei, J., 2009. Sustainability constraints on UK bioenergy development. </w:t>
      </w:r>
      <w:r w:rsidRPr="005117F1">
        <w:rPr>
          <w:rFonts w:ascii="Times New Roman" w:hAnsi="Times New Roman" w:cs="Times New Roman"/>
          <w:i/>
          <w:iCs/>
          <w:sz w:val="24"/>
          <w:szCs w:val="24"/>
          <w:shd w:val="clear" w:color="auto" w:fill="FFFFFF"/>
        </w:rPr>
        <w:t>Energy Policy</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37</w:t>
      </w:r>
      <w:r w:rsidRPr="005117F1">
        <w:rPr>
          <w:rFonts w:ascii="Times New Roman" w:hAnsi="Times New Roman" w:cs="Times New Roman"/>
          <w:sz w:val="24"/>
          <w:szCs w:val="24"/>
          <w:shd w:val="clear" w:color="auto" w:fill="FFFFFF"/>
        </w:rPr>
        <w:t>(12), pp.5623-5635.</w:t>
      </w:r>
    </w:p>
    <w:p w:rsidR="003B635B" w:rsidRPr="005117F1" w:rsidRDefault="003B635B" w:rsidP="00106E21">
      <w:pPr>
        <w:rPr>
          <w:rFonts w:ascii="Times New Roman" w:hAnsi="Times New Roman" w:cs="Times New Roman"/>
          <w:sz w:val="24"/>
          <w:szCs w:val="24"/>
          <w:shd w:val="clear" w:color="auto" w:fill="FFFFFF"/>
        </w:rPr>
      </w:pPr>
      <w:r w:rsidRPr="005117F1">
        <w:rPr>
          <w:rFonts w:ascii="Times New Roman" w:hAnsi="Times New Roman" w:cs="Times New Roman"/>
          <w:sz w:val="24"/>
          <w:szCs w:val="24"/>
          <w:shd w:val="clear" w:color="auto" w:fill="FFFFFF"/>
        </w:rPr>
        <w:t>Tilman, D., Hill, J. and Lehman, C., 2006. Carbon-negative biofuels from low-input high-diversity grassland biomass. </w:t>
      </w:r>
      <w:r w:rsidRPr="005117F1">
        <w:rPr>
          <w:rFonts w:ascii="Times New Roman" w:hAnsi="Times New Roman" w:cs="Times New Roman"/>
          <w:i/>
          <w:iCs/>
          <w:sz w:val="24"/>
          <w:szCs w:val="24"/>
          <w:shd w:val="clear" w:color="auto" w:fill="FFFFFF"/>
        </w:rPr>
        <w:t>Science</w:t>
      </w:r>
      <w:r w:rsidRPr="005117F1">
        <w:rPr>
          <w:rFonts w:ascii="Times New Roman" w:hAnsi="Times New Roman" w:cs="Times New Roman"/>
          <w:sz w:val="24"/>
          <w:szCs w:val="24"/>
          <w:shd w:val="clear" w:color="auto" w:fill="FFFFFF"/>
        </w:rPr>
        <w:t>, </w:t>
      </w:r>
      <w:r w:rsidRPr="005117F1">
        <w:rPr>
          <w:rFonts w:ascii="Times New Roman" w:hAnsi="Times New Roman" w:cs="Times New Roman"/>
          <w:i/>
          <w:iCs/>
          <w:sz w:val="24"/>
          <w:szCs w:val="24"/>
          <w:shd w:val="clear" w:color="auto" w:fill="FFFFFF"/>
        </w:rPr>
        <w:t>314</w:t>
      </w:r>
      <w:r w:rsidRPr="005117F1">
        <w:rPr>
          <w:rFonts w:ascii="Times New Roman" w:hAnsi="Times New Roman" w:cs="Times New Roman"/>
          <w:sz w:val="24"/>
          <w:szCs w:val="24"/>
          <w:shd w:val="clear" w:color="auto" w:fill="FFFFFF"/>
        </w:rPr>
        <w:t>(5805), pp.1598-1600.</w:t>
      </w:r>
    </w:p>
    <w:p w:rsidR="001B022C" w:rsidRPr="005117F1" w:rsidRDefault="001B022C" w:rsidP="00106E21">
      <w:pPr>
        <w:rPr>
          <w:rFonts w:ascii="Times New Roman" w:hAnsi="Times New Roman" w:cs="Times New Roman"/>
          <w:sz w:val="24"/>
          <w:szCs w:val="24"/>
        </w:rPr>
      </w:pPr>
    </w:p>
    <w:sectPr w:rsidR="001B022C" w:rsidRPr="005117F1" w:rsidSect="00C15910">
      <w:pgSz w:w="11906" w:h="17338"/>
      <w:pgMar w:top="1842" w:right="908" w:bottom="65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2A1"/>
    <w:multiLevelType w:val="hybridMultilevel"/>
    <w:tmpl w:val="7D4432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0F2F28"/>
    <w:multiLevelType w:val="hybridMultilevel"/>
    <w:tmpl w:val="17A0D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286448"/>
    <w:multiLevelType w:val="hybridMultilevel"/>
    <w:tmpl w:val="FA483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4223C2"/>
    <w:multiLevelType w:val="hybridMultilevel"/>
    <w:tmpl w:val="AEFA21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A64"/>
    <w:rsid w:val="00062726"/>
    <w:rsid w:val="00071D87"/>
    <w:rsid w:val="00071F30"/>
    <w:rsid w:val="00071F9B"/>
    <w:rsid w:val="00086000"/>
    <w:rsid w:val="000967D0"/>
    <w:rsid w:val="000B0813"/>
    <w:rsid w:val="000B09AA"/>
    <w:rsid w:val="000D0AD6"/>
    <w:rsid w:val="000E4E01"/>
    <w:rsid w:val="001044D5"/>
    <w:rsid w:val="00106E21"/>
    <w:rsid w:val="001119AD"/>
    <w:rsid w:val="00112F91"/>
    <w:rsid w:val="00117C73"/>
    <w:rsid w:val="00125319"/>
    <w:rsid w:val="0013670C"/>
    <w:rsid w:val="00137A35"/>
    <w:rsid w:val="00144486"/>
    <w:rsid w:val="00157EAF"/>
    <w:rsid w:val="001619D2"/>
    <w:rsid w:val="00165B89"/>
    <w:rsid w:val="00170D7C"/>
    <w:rsid w:val="00190B2C"/>
    <w:rsid w:val="00194EE7"/>
    <w:rsid w:val="001A5D59"/>
    <w:rsid w:val="001A605C"/>
    <w:rsid w:val="001A7D59"/>
    <w:rsid w:val="001B022C"/>
    <w:rsid w:val="001B4DAA"/>
    <w:rsid w:val="001D0DC6"/>
    <w:rsid w:val="001E3FAD"/>
    <w:rsid w:val="001F1719"/>
    <w:rsid w:val="002255DA"/>
    <w:rsid w:val="0022784F"/>
    <w:rsid w:val="00231F8B"/>
    <w:rsid w:val="00245509"/>
    <w:rsid w:val="00252DBC"/>
    <w:rsid w:val="00256FD3"/>
    <w:rsid w:val="00272EB7"/>
    <w:rsid w:val="00277452"/>
    <w:rsid w:val="00287F35"/>
    <w:rsid w:val="002C5F60"/>
    <w:rsid w:val="002D4650"/>
    <w:rsid w:val="002E3235"/>
    <w:rsid w:val="00321248"/>
    <w:rsid w:val="00351B35"/>
    <w:rsid w:val="00351E69"/>
    <w:rsid w:val="003560E7"/>
    <w:rsid w:val="003600D1"/>
    <w:rsid w:val="00386BF7"/>
    <w:rsid w:val="00387474"/>
    <w:rsid w:val="003941A6"/>
    <w:rsid w:val="00396F2A"/>
    <w:rsid w:val="003A3091"/>
    <w:rsid w:val="003B1ED1"/>
    <w:rsid w:val="003B54DE"/>
    <w:rsid w:val="003B635B"/>
    <w:rsid w:val="003C0C6C"/>
    <w:rsid w:val="003D3CC6"/>
    <w:rsid w:val="003F4859"/>
    <w:rsid w:val="004008ED"/>
    <w:rsid w:val="004127C6"/>
    <w:rsid w:val="00432358"/>
    <w:rsid w:val="00442EF6"/>
    <w:rsid w:val="00466B92"/>
    <w:rsid w:val="00474619"/>
    <w:rsid w:val="004B37C6"/>
    <w:rsid w:val="004C230D"/>
    <w:rsid w:val="004C51D0"/>
    <w:rsid w:val="004D0778"/>
    <w:rsid w:val="004D248A"/>
    <w:rsid w:val="004E60AE"/>
    <w:rsid w:val="004F0BAA"/>
    <w:rsid w:val="005117F1"/>
    <w:rsid w:val="005137BE"/>
    <w:rsid w:val="00530D25"/>
    <w:rsid w:val="00531E31"/>
    <w:rsid w:val="005437F6"/>
    <w:rsid w:val="00552F62"/>
    <w:rsid w:val="005609BB"/>
    <w:rsid w:val="00571094"/>
    <w:rsid w:val="00583D45"/>
    <w:rsid w:val="00584332"/>
    <w:rsid w:val="00593F17"/>
    <w:rsid w:val="00597246"/>
    <w:rsid w:val="005A3292"/>
    <w:rsid w:val="005C7881"/>
    <w:rsid w:val="0060768E"/>
    <w:rsid w:val="00627B52"/>
    <w:rsid w:val="00631377"/>
    <w:rsid w:val="00631848"/>
    <w:rsid w:val="00633BC0"/>
    <w:rsid w:val="00646A41"/>
    <w:rsid w:val="006564FD"/>
    <w:rsid w:val="00660AE3"/>
    <w:rsid w:val="006622A5"/>
    <w:rsid w:val="00664975"/>
    <w:rsid w:val="00671872"/>
    <w:rsid w:val="006879EF"/>
    <w:rsid w:val="006A5638"/>
    <w:rsid w:val="006B2838"/>
    <w:rsid w:val="006C44A9"/>
    <w:rsid w:val="006C5261"/>
    <w:rsid w:val="006D27DF"/>
    <w:rsid w:val="006D53D0"/>
    <w:rsid w:val="006E7074"/>
    <w:rsid w:val="006E75E0"/>
    <w:rsid w:val="006E7CFB"/>
    <w:rsid w:val="006F1DEB"/>
    <w:rsid w:val="006F6E3A"/>
    <w:rsid w:val="007206D8"/>
    <w:rsid w:val="007210AD"/>
    <w:rsid w:val="00723CDA"/>
    <w:rsid w:val="00737EDA"/>
    <w:rsid w:val="00742FBA"/>
    <w:rsid w:val="007603F0"/>
    <w:rsid w:val="00770732"/>
    <w:rsid w:val="007767CC"/>
    <w:rsid w:val="00776840"/>
    <w:rsid w:val="007905C2"/>
    <w:rsid w:val="00794437"/>
    <w:rsid w:val="00797213"/>
    <w:rsid w:val="007A67C5"/>
    <w:rsid w:val="007B332F"/>
    <w:rsid w:val="007B4CDE"/>
    <w:rsid w:val="007E218A"/>
    <w:rsid w:val="007E5BAB"/>
    <w:rsid w:val="007E6D80"/>
    <w:rsid w:val="007F0B18"/>
    <w:rsid w:val="007F5C57"/>
    <w:rsid w:val="00827A90"/>
    <w:rsid w:val="00830FD4"/>
    <w:rsid w:val="00835841"/>
    <w:rsid w:val="00847FDA"/>
    <w:rsid w:val="008567F0"/>
    <w:rsid w:val="00870D73"/>
    <w:rsid w:val="00873FE4"/>
    <w:rsid w:val="0088126C"/>
    <w:rsid w:val="008B2916"/>
    <w:rsid w:val="008B612D"/>
    <w:rsid w:val="008D5CF3"/>
    <w:rsid w:val="008F56B3"/>
    <w:rsid w:val="008F5B34"/>
    <w:rsid w:val="00901364"/>
    <w:rsid w:val="00902F7E"/>
    <w:rsid w:val="00906550"/>
    <w:rsid w:val="00912B50"/>
    <w:rsid w:val="009169AF"/>
    <w:rsid w:val="00920522"/>
    <w:rsid w:val="00926C4E"/>
    <w:rsid w:val="00941AB2"/>
    <w:rsid w:val="009449F0"/>
    <w:rsid w:val="00953599"/>
    <w:rsid w:val="00965CC0"/>
    <w:rsid w:val="00971600"/>
    <w:rsid w:val="00972C30"/>
    <w:rsid w:val="00976C79"/>
    <w:rsid w:val="009774A9"/>
    <w:rsid w:val="009916AC"/>
    <w:rsid w:val="00996E2A"/>
    <w:rsid w:val="009A017B"/>
    <w:rsid w:val="009B14BC"/>
    <w:rsid w:val="009C72C4"/>
    <w:rsid w:val="009E2EE6"/>
    <w:rsid w:val="009E45E8"/>
    <w:rsid w:val="009F2A64"/>
    <w:rsid w:val="009F2BC8"/>
    <w:rsid w:val="00A01098"/>
    <w:rsid w:val="00A14B83"/>
    <w:rsid w:val="00A20BAF"/>
    <w:rsid w:val="00A30BCC"/>
    <w:rsid w:val="00A64667"/>
    <w:rsid w:val="00A75B0B"/>
    <w:rsid w:val="00A7647D"/>
    <w:rsid w:val="00A771C6"/>
    <w:rsid w:val="00A918B8"/>
    <w:rsid w:val="00A937BA"/>
    <w:rsid w:val="00AA7A04"/>
    <w:rsid w:val="00AD02A0"/>
    <w:rsid w:val="00AD63B8"/>
    <w:rsid w:val="00AD6B54"/>
    <w:rsid w:val="00B020D9"/>
    <w:rsid w:val="00B062A3"/>
    <w:rsid w:val="00B31460"/>
    <w:rsid w:val="00B62469"/>
    <w:rsid w:val="00B65475"/>
    <w:rsid w:val="00B966A7"/>
    <w:rsid w:val="00BA7309"/>
    <w:rsid w:val="00BB036D"/>
    <w:rsid w:val="00BB4709"/>
    <w:rsid w:val="00BE137B"/>
    <w:rsid w:val="00BE56D0"/>
    <w:rsid w:val="00BF08F6"/>
    <w:rsid w:val="00C00FCD"/>
    <w:rsid w:val="00C147A5"/>
    <w:rsid w:val="00C2566C"/>
    <w:rsid w:val="00C268F2"/>
    <w:rsid w:val="00C30C3F"/>
    <w:rsid w:val="00C362AF"/>
    <w:rsid w:val="00C44B4F"/>
    <w:rsid w:val="00C53738"/>
    <w:rsid w:val="00C63031"/>
    <w:rsid w:val="00C633A9"/>
    <w:rsid w:val="00C95899"/>
    <w:rsid w:val="00CA1BF2"/>
    <w:rsid w:val="00CC5FED"/>
    <w:rsid w:val="00CC7C7D"/>
    <w:rsid w:val="00CE14E5"/>
    <w:rsid w:val="00CE5ADC"/>
    <w:rsid w:val="00CF0336"/>
    <w:rsid w:val="00D10D60"/>
    <w:rsid w:val="00D227D6"/>
    <w:rsid w:val="00D27FF2"/>
    <w:rsid w:val="00D44831"/>
    <w:rsid w:val="00D457DF"/>
    <w:rsid w:val="00D533FD"/>
    <w:rsid w:val="00D5367E"/>
    <w:rsid w:val="00D61C05"/>
    <w:rsid w:val="00D813A6"/>
    <w:rsid w:val="00DA0FC4"/>
    <w:rsid w:val="00DD1FEE"/>
    <w:rsid w:val="00DD3667"/>
    <w:rsid w:val="00DD4B5D"/>
    <w:rsid w:val="00DF72E4"/>
    <w:rsid w:val="00DF74E5"/>
    <w:rsid w:val="00E13754"/>
    <w:rsid w:val="00E25C1F"/>
    <w:rsid w:val="00E3227E"/>
    <w:rsid w:val="00E32FA0"/>
    <w:rsid w:val="00E34199"/>
    <w:rsid w:val="00E462E7"/>
    <w:rsid w:val="00E62613"/>
    <w:rsid w:val="00E7353A"/>
    <w:rsid w:val="00E808DD"/>
    <w:rsid w:val="00EB7108"/>
    <w:rsid w:val="00ED5F64"/>
    <w:rsid w:val="00F05FDF"/>
    <w:rsid w:val="00F2234E"/>
    <w:rsid w:val="00F31A78"/>
    <w:rsid w:val="00F43FD7"/>
    <w:rsid w:val="00F64E7E"/>
    <w:rsid w:val="00F654D6"/>
    <w:rsid w:val="00F70D37"/>
    <w:rsid w:val="00F71BD3"/>
    <w:rsid w:val="00F82C63"/>
    <w:rsid w:val="00F82D05"/>
    <w:rsid w:val="00F96C64"/>
    <w:rsid w:val="00F96E97"/>
    <w:rsid w:val="00FB2D2E"/>
    <w:rsid w:val="00FB5C56"/>
    <w:rsid w:val="00FD41E6"/>
    <w:rsid w:val="00FE1E6B"/>
    <w:rsid w:val="00FE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9B5"/>
  <w15:chartTrackingRefBased/>
  <w15:docId w15:val="{BEA4336F-1845-4718-A904-02CA7CD7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AF"/>
    <w:pPr>
      <w:keepNext/>
      <w:keepLines/>
      <w:spacing w:before="240" w:after="0" w:line="480" w:lineRule="auto"/>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2EE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044D5"/>
    <w:pPr>
      <w:ind w:left="720"/>
      <w:contextualSpacing/>
    </w:pPr>
  </w:style>
  <w:style w:type="paragraph" w:styleId="NormalWeb">
    <w:name w:val="Normal (Web)"/>
    <w:basedOn w:val="Normal"/>
    <w:uiPriority w:val="99"/>
    <w:unhideWhenUsed/>
    <w:rsid w:val="00104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CF3"/>
    <w:rPr>
      <w:color w:val="0000FF"/>
      <w:u w:val="single"/>
    </w:rPr>
  </w:style>
  <w:style w:type="character" w:customStyle="1" w:styleId="Heading1Char">
    <w:name w:val="Heading 1 Char"/>
    <w:basedOn w:val="DefaultParagraphFont"/>
    <w:link w:val="Heading1"/>
    <w:uiPriority w:val="9"/>
    <w:rsid w:val="00A20BA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53599"/>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3599"/>
    <w:pPr>
      <w:spacing w:after="100"/>
    </w:pPr>
  </w:style>
  <w:style w:type="character" w:customStyle="1" w:styleId="UnresolvedMention1">
    <w:name w:val="Unresolved Mention1"/>
    <w:basedOn w:val="DefaultParagraphFont"/>
    <w:uiPriority w:val="99"/>
    <w:semiHidden/>
    <w:unhideWhenUsed/>
    <w:rsid w:val="00FB5C56"/>
    <w:rPr>
      <w:color w:val="605E5C"/>
      <w:shd w:val="clear" w:color="auto" w:fill="E1DFDD"/>
    </w:rPr>
  </w:style>
  <w:style w:type="character" w:styleId="Emphasis">
    <w:name w:val="Emphasis"/>
    <w:basedOn w:val="DefaultParagraphFont"/>
    <w:uiPriority w:val="20"/>
    <w:qFormat/>
    <w:rsid w:val="00830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33813">
      <w:bodyDiv w:val="1"/>
      <w:marLeft w:val="0"/>
      <w:marRight w:val="0"/>
      <w:marTop w:val="0"/>
      <w:marBottom w:val="0"/>
      <w:divBdr>
        <w:top w:val="none" w:sz="0" w:space="0" w:color="auto"/>
        <w:left w:val="none" w:sz="0" w:space="0" w:color="auto"/>
        <w:bottom w:val="none" w:sz="0" w:space="0" w:color="auto"/>
        <w:right w:val="none" w:sz="0" w:space="0" w:color="auto"/>
      </w:divBdr>
    </w:div>
    <w:div w:id="998074025">
      <w:bodyDiv w:val="1"/>
      <w:marLeft w:val="0"/>
      <w:marRight w:val="0"/>
      <w:marTop w:val="0"/>
      <w:marBottom w:val="0"/>
      <w:divBdr>
        <w:top w:val="none" w:sz="0" w:space="0" w:color="auto"/>
        <w:left w:val="none" w:sz="0" w:space="0" w:color="auto"/>
        <w:bottom w:val="none" w:sz="0" w:space="0" w:color="auto"/>
        <w:right w:val="none" w:sz="0" w:space="0" w:color="auto"/>
      </w:divBdr>
    </w:div>
    <w:div w:id="10658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A739-008F-49AF-B5ED-972CFC90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MUMTA BAI</cp:lastModifiedBy>
  <cp:revision>246</cp:revision>
  <dcterms:created xsi:type="dcterms:W3CDTF">2020-03-11T18:17:00Z</dcterms:created>
  <dcterms:modified xsi:type="dcterms:W3CDTF">2020-03-15T14:02:00Z</dcterms:modified>
</cp:coreProperties>
</file>