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Urology Practice Analytics &amp; Operations Memo</w:t>
      </w:r>
    </w:p>
    <w:p>
      <w:pPr>
        <w:jc w:val="right"/>
      </w:pPr>
      <w:r>
        <w:t>Date: May 10, 2026</w:t>
      </w:r>
    </w:p>
    <w:p>
      <w:pPr>
        <w:jc w:val="left"/>
      </w:pPr>
      <w:r>
        <w:t>To: Department Chair, Johns Hopkins Urology</w:t>
      </w:r>
    </w:p>
    <w:p>
      <w:r>
        <w:t>From: Operations Analytics Division</w:t>
        <w:br/>
      </w:r>
    </w:p>
    <w:p>
      <w:pPr>
        <w:pStyle w:val="Heading1"/>
      </w:pPr>
      <w:r>
        <w:t>Executive Summary</w:t>
      </w:r>
    </w:p>
    <w:p>
      <w:r>
        <w:t>This memorandum provides a holistic diagnostic review of the department's physician productivity, ambulatory capacity, and billing compliance based on real-time automated CMS and AHRQ metrics. Overall departmental revenue generation remains strong, but our predictive alert engine has identified discrete system bottlenecks and under-performing clinic configurations that risk future RVU attrition. The following details key opportunities to optimize OR utilization and eliminate compliance risks over the next 6 months.</w:t>
      </w:r>
    </w:p>
    <w:p>
      <w:pPr>
        <w:pStyle w:val="Heading2"/>
      </w:pPr>
      <w:r>
        <w:t>Key Performance Metrics (Annual Trajectory)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Operational Metric</w:t>
            </w:r>
          </w:p>
        </w:tc>
        <w:tc>
          <w:tcPr>
            <w:tcW w:type="dxa" w:w="4320"/>
          </w:tcPr>
          <w:p>
            <w:r>
              <w:t>Trajectory Output</w:t>
            </w:r>
          </w:p>
        </w:tc>
      </w:tr>
      <w:tr>
        <w:tc>
          <w:tcPr>
            <w:tcW w:type="dxa" w:w="4320"/>
          </w:tcPr>
          <w:p>
            <w:r>
              <w:t>Active Billing Providers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Aggregate Medicare Revenue</w:t>
            </w:r>
          </w:p>
        </w:tc>
        <w:tc>
          <w:tcPr>
            <w:tcW w:type="dxa" w:w="4320"/>
          </w:tcPr>
          <w:p>
            <w:r>
              <w:t>$10,317,772.33</w:t>
            </w:r>
          </w:p>
        </w:tc>
      </w:tr>
      <w:tr>
        <w:tc>
          <w:tcPr>
            <w:tcW w:type="dxa" w:w="4320"/>
          </w:tcPr>
          <w:p>
            <w:r>
              <w:t>Total RVUs Generated</w:t>
            </w:r>
          </w:p>
        </w:tc>
        <w:tc>
          <w:tcPr>
            <w:tcW w:type="dxa" w:w="4320"/>
          </w:tcPr>
          <w:p>
            <w:r>
              <w:t>298,148</w:t>
            </w:r>
          </w:p>
        </w:tc>
      </w:tr>
      <w:tr>
        <w:tc>
          <w:tcPr>
            <w:tcW w:type="dxa" w:w="4320"/>
          </w:tcPr>
          <w:p>
            <w:r>
              <w:t>Auto-Generated System Alerts</w:t>
            </w:r>
          </w:p>
        </w:tc>
        <w:tc>
          <w:tcPr>
            <w:tcW w:type="dxa" w:w="4320"/>
          </w:tcPr>
          <w:p>
            <w:r>
              <w:t>13 Critical / 5 Warning</w:t>
            </w:r>
          </w:p>
        </w:tc>
      </w:tr>
    </w:tbl>
    <w:p>
      <w:pPr>
        <w:pStyle w:val="Heading2"/>
      </w:pPr>
      <w:r>
        <w:t>Top 3 Strategic Findings</w:t>
      </w:r>
    </w:p>
    <w:p>
      <w:pPr>
        <w:pStyle w:val="ListBullet"/>
      </w:pPr>
      <w:r>
        <w:t>1. Provider Benchmarking: A distinct sub-cohort of providers has fallen below the 15% internal variation threshold against the National Median for RVU generation, signaling a need for schedule/block reallocation.</w:t>
      </w:r>
    </w:p>
    <w:p>
      <w:pPr>
        <w:pStyle w:val="ListBullet"/>
      </w:pPr>
      <w:r>
        <w:t>2. Billing Anomalies Identified: The intelligent coding surveillance identified top-tier billing frequency anomalies (&gt; 2 Standard Deviations from National Averages) which represent immediate RAC compliance audit vulnerabilities.</w:t>
      </w:r>
    </w:p>
    <w:p>
      <w:pPr>
        <w:pStyle w:val="ListBullet"/>
      </w:pPr>
      <w:r>
        <w:t>3. Capacity Optimization Target: Top-weighted procedures (e.g., specific oncology or high-margin ambulatory CPTs) show a disproportionately high patient-to-provider routing, creating a severe access bottleneck.</w:t>
      </w:r>
    </w:p>
    <w:p>
      <w:r>
        <w:br w:type="page"/>
      </w:r>
    </w:p>
    <w:p>
      <w:pPr>
        <w:pStyle w:val="Heading1"/>
      </w:pPr>
      <w:r>
        <w:t>Operational Risks Identified</w:t>
      </w:r>
    </w:p>
    <w:p>
      <w:r>
        <w:rPr>
          <w:b/>
        </w:rPr>
        <w:t xml:space="preserve">Risk 1: Capacity Gridlock. </w:t>
      </w:r>
      <w:r>
        <w:t>Our current trajectory modeling flags exactly 13 procedures showing severe volume-to-provider ratios mapping to capacity limits.</w:t>
      </w:r>
    </w:p>
    <w:p>
      <w:r>
        <w:rPr>
          <w:b/>
        </w:rPr>
        <w:t xml:space="preserve">Risk 2: CMS Reconciliation Risk. </w:t>
      </w:r>
      <w:r>
        <w:t>Warning systems blocked 5 procedures demonstrating standard deviation anomalies indicating potential revenue leakage or coding misalignment.</w:t>
      </w:r>
    </w:p>
    <w:p>
      <w:pPr>
        <w:pStyle w:val="Heading2"/>
      </w:pPr>
      <w:r>
        <w:t>Strategic Recommendations</w:t>
      </w:r>
    </w:p>
    <w:p>
      <w:pPr>
        <w:pStyle w:val="ListNumber"/>
      </w:pPr>
      <w:r>
        <w:t>Based on the data governance models processed this cycle, we formally recommend:</w:t>
      </w:r>
    </w:p>
    <w:p>
      <w:pPr>
        <w:pStyle w:val="ListNumber"/>
      </w:pPr>
      <w:r>
        <w:t>Expand Surgical OR Allocation: Execute Scenario Modeler logic (refer to dashboard) utilizing our '+10 OR Slots/week' forecast to absorb bottleneck cases.</w:t>
      </w:r>
    </w:p>
    <w:p>
      <w:pPr>
        <w:pStyle w:val="ListNumber"/>
      </w:pPr>
      <w:r>
        <w:t>Initiate Peer-Review Coding Audit: Isolate the anomalous CPT blocks specifically flagged by Module 2 of the Analytics Pipeline.</w:t>
      </w:r>
    </w:p>
    <w:p>
      <w:pPr>
        <w:pStyle w:val="ListNumber"/>
      </w:pPr>
      <w:r>
        <w:t>Provider Load Balancing: Redistribute ambulatory clinical hours for the providers trailing in RVU output to off-load the heavily burdened providers facing 60+ day wait times.</w:t>
      </w:r>
    </w:p>
    <w:p>
      <w:pPr>
        <w:pStyle w:val="Heading2"/>
      </w:pPr>
      <w:r>
        <w:t>6-Month Outlook</w:t>
      </w:r>
    </w:p>
    <w:p>
      <w:r>
        <w:t>Using our automated ARIMAX Time Series extrapolation tools based on real CMS baseline seasonality, if no structural changes are executed, the system expects steady nominal Medicare revenue but increased wait-times extending beyond the AHRQ MEPS baseline access standards. Executing recommendation #1 improves margin elasticity and reduces backlog.</w:t>
      </w:r>
    </w:p>
    <w:p>
      <w:pPr>
        <w:pStyle w:val="Heading2"/>
      </w:pPr>
      <w:r>
        <w:t>Appendix: Dashboard Interoperability</w:t>
      </w:r>
    </w:p>
    <w:p>
      <w:r>
        <w:t>For interactive modeling, refer to the 'Johns Hopkins Urology Practice Intelligence' Power BI Dashboard deployed directly from this automated Python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