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Times New Roman" w:cs="Times New Roman" w:eastAsia="Times New Roman" w:hAnsi="Times New Roman"/>
          <w:b/>
          <w:bCs/>
          <w:sz w:val="30"/>
          <w:szCs w:val="30"/>
        </w:rPr>
        <w:t xml:space="preserve">Automating the Scientific Synthesis Loop: A Cascading Multi-Agent Framework for End-to-End Literature Review Generation</w:t>
      </w:r>
    </w:p>
    <w:p>
      <w:pPr>
        <w:spacing w:after="80" w:before="0"/>
        <w:jc w:val="center"/>
      </w:pPr>
      <w:r>
        <w:rPr>
          <w:rFonts w:ascii="Times New Roman" w:cs="Times New Roman" w:eastAsia="Times New Roman" w:hAnsi="Times New Roman"/>
          <w:b/>
          <w:bCs/>
          <w:sz w:val="24"/>
          <w:szCs w:val="24"/>
        </w:rPr>
        <w:t xml:space="preserve">Abstract</w:t>
      </w:r>
    </w:p>
    <w:p>
      <w:pPr>
        <w:spacing w:after="160" w:before="0" w:line="360" w:lineRule="auto"/>
        <w:jc w:val="both"/>
      </w:pPr>
      <w:r>
        <w:rPr>
          <w:rFonts w:ascii="Times New Roman" w:cs="Times New Roman" w:eastAsia="Times New Roman" w:hAnsi="Times New Roman"/>
          <w:sz w:val="24"/>
          <w:szCs w:val="24"/>
        </w:rPr>
        <w:t xml:space="preserve">The exponential growth of scholarly publication has rendered manual literature review an increasingly unsustainable component of the research lifecycle. While Large Language Models (LLMs) have demonstrated competence in isolated subtasks such as summarization and question answering, static single-pass architectures cannot replicate the iterative, evaluative, and self-correcting nature of human scholarly review. This paper presents a cascading multi-agent framework that fully automates the literature review pipeline, transforming a raw natural-language research query into a structured, citation-grounded synthesis document without manual intervention. The architecture decomposes the review process into specialized, role-bound agents governed by a Perception-Reflection-Action execution loop and orchestrated through dynamic state-routing across a shared context graph. Agents are responsible for query decomposition and search-term enhancement, multi-source retrieval and deduplication, relevance screening against semantic embeddings, evidence-strength classification, and structured draft synthesis, with an integrated verification loop that audits factual grounding before final output. Empirical evaluation demonstrates substantial reductions in end-to-end synthesis latency relative to manual workflows. The proposed framework establishes a reproducible, extensible blueprint for agentic automation of knowledge-intensive academic workflows.</w:t>
      </w:r>
    </w:p>
    <w:p>
      <w:pPr>
        <w:spacing w:after="200" w:before="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Agentic AI, Multi-Agent Systems, Literature Review Automation, Retrieval-Augmented Generation, Context-Window Orchestration</w:t>
      </w:r>
    </w:p>
    <w:p>
      <w:pPr>
        <w:spacing w:after="100" w:before="280"/>
      </w:pPr>
      <w:r>
        <w:rPr>
          <w:rFonts w:ascii="Times New Roman" w:cs="Times New Roman" w:eastAsia="Times New Roman" w:hAnsi="Times New Roman"/>
          <w:b/>
          <w:bCs/>
          <w:sz w:val="26"/>
          <w:szCs w:val="26"/>
        </w:rPr>
        <w:t xml:space="preserve">1. Introduction</w:t>
      </w:r>
    </w:p>
    <w:p>
      <w:pPr>
        <w:spacing w:after="160" w:before="0" w:line="360" w:lineRule="auto"/>
        <w:jc w:val="both"/>
      </w:pPr>
      <w:r>
        <w:rPr>
          <w:rFonts w:ascii="Times New Roman" w:cs="Times New Roman" w:eastAsia="Times New Roman" w:hAnsi="Times New Roman"/>
          <w:sz w:val="24"/>
          <w:szCs w:val="24"/>
        </w:rPr>
        <w:t xml:space="preserve">The emergence of Agentic AI marks a structural departure from the request-response paradigm that has dominated LLM applications since their inception. Where conventional LLM deployment treats the model as a stateless function mapping a single prompt to a single completion, agentic systems instantiate the model as a persistent reasoning entity embedded within an iterative Perception-Reflection-Action control loop. This recursive structure enables multi-step planning, tool invocation, error detection, and self-correction across extended task horizons that would otherwise exceed the reasoning capacity of a single inference pass.</w:t>
      </w:r>
    </w:p>
    <w:p>
      <w:pPr>
        <w:spacing w:after="160" w:before="0" w:line="360" w:lineRule="auto"/>
        <w:jc w:val="both"/>
      </w:pPr>
      <w:r>
        <w:rPr>
          <w:rFonts w:ascii="Times New Roman" w:cs="Times New Roman" w:eastAsia="Times New Roman" w:hAnsi="Times New Roman"/>
          <w:sz w:val="24"/>
          <w:szCs w:val="24"/>
        </w:rPr>
        <w:t xml:space="preserve">This paradigm gained momentum through three enabling capabilities matured between 2023 and 2026: structured tool-calling interfaces, extended context windows, and orchestration frameworks formalizing multi-step execution as directed graphs with conditional routing and persistent state. By 2025, this had evolved into multi-agent topologies in which discrete agents — each scoped to a narrow functional responsibility — communicate through a shared, typed state object rather than unstructured natural-language handoffs, the defining architectural trend of agentic AI as of 2026.</w:t>
      </w:r>
    </w:p>
    <w:p>
      <w:pPr>
        <w:spacing w:after="160" w:before="0" w:line="360" w:lineRule="auto"/>
        <w:jc w:val="both"/>
      </w:pPr>
      <w:r>
        <w:rPr>
          <w:rFonts w:ascii="Times New Roman" w:cs="Times New Roman" w:eastAsia="Times New Roman" w:hAnsi="Times New Roman"/>
          <w:sz w:val="24"/>
          <w:szCs w:val="24"/>
        </w:rPr>
        <w:t xml:space="preserve">Academic literature review remains predominantly manual despite being structurally well-suited to agentic decomposition. The conventional workflow requires a researcher to formulate queries, screen abstracts, retrieve and read full texts, extract methodological details, assess evidence quality, and synthesize heterogeneous findings into a coherent narrative — all performed sequentially by a single individual. These inefficiencies compound across three dimensions: substantial temporal cost (days to weeks per review), a structural parsing bottleneck that scales linearly with corpus size, and the absence of a systematic verification mechanism analogous to the critic-reviewer loops now standard in agentic software engineering pipelines.</w:t>
      </w:r>
    </w:p>
    <w:p>
      <w:pPr>
        <w:spacing w:after="160" w:before="0" w:line="360" w:lineRule="auto"/>
        <w:jc w:val="both"/>
      </w:pPr>
      <w:r>
        <w:rPr>
          <w:rFonts w:ascii="Times New Roman" w:cs="Times New Roman" w:eastAsia="Times New Roman" w:hAnsi="Times New Roman"/>
          <w:sz w:val="24"/>
          <w:szCs w:val="24"/>
        </w:rPr>
        <w:t xml:space="preserve">This paper presents a cascading multi-agent framework addressing these constraints: a query-enhancement agent performs semantic decomposition and dynamic reformulation; a retrieval agent executes multi-source search with deduplication and relevance filtering; a curation agent chunks and extracts structured records from full texts; an analysis agent constructs cross-paper comparison matrices and gap analysis; and a synthesis agent drafts the review narrative with an integrated verification loop. The core contributions are: (1) a cascading multi-agent architecture with dynamic state-routing and conditional re-invocation; (2) a dynamic query-enhancement mechanism with iterative reformulation; (3) a localized evidence-evaluation matrix providing structured intermediate representation; and (4) an automated verification loop auditing citation fidelity and factual grounding prior to final output.</w:t>
      </w:r>
    </w:p>
    <w:p>
      <w:pPr>
        <w:spacing w:after="100" w:before="280"/>
      </w:pPr>
      <w:r>
        <w:rPr>
          <w:rFonts w:ascii="Times New Roman" w:cs="Times New Roman" w:eastAsia="Times New Roman" w:hAnsi="Times New Roman"/>
          <w:b/>
          <w:bCs/>
          <w:sz w:val="26"/>
          <w:szCs w:val="26"/>
        </w:rPr>
        <w:t xml:space="preserve">2. Literature Review</w:t>
      </w:r>
    </w:p>
    <w:p>
      <w:pPr>
        <w:spacing w:after="160" w:before="0" w:line="360" w:lineRule="auto"/>
        <w:jc w:val="both"/>
      </w:pPr>
      <w:r>
        <w:rPr>
          <w:rFonts w:ascii="Times New Roman" w:cs="Times New Roman" w:eastAsia="Times New Roman" w:hAnsi="Times New Roman"/>
          <w:sz w:val="24"/>
          <w:szCs w:val="24"/>
        </w:rPr>
        <w:t xml:space="preserve">The 2024-2026 literature on agentic AI and scientific information retrieval is organized chronologically below. Each work is analyzed along four pillars: problem addressed, methodology employed, key results, and critical limitations that motivate the present framework.</w:t>
      </w:r>
    </w:p>
    <w:p>
      <w:pPr>
        <w:spacing w:after="80" w:before="180"/>
      </w:pPr>
      <w:r>
        <w:rPr>
          <w:rFonts w:ascii="Times New Roman" w:cs="Times New Roman" w:eastAsia="Times New Roman" w:hAnsi="Times New Roman"/>
          <w:b/>
          <w:bCs/>
          <w:i/>
          <w:iCs/>
          <w:sz w:val="24"/>
          <w:szCs w:val="24"/>
        </w:rPr>
        <w:t xml:space="preserve">2.1 Research from 2024</w:t>
      </w:r>
    </w:p>
    <w:p>
      <w:pPr>
        <w:spacing w:after="160" w:before="0" w:line="360" w:lineRule="auto"/>
        <w:jc w:val="both"/>
      </w:pPr>
      <w:r>
        <w:rPr>
          <w:rFonts w:ascii="Times New Roman" w:cs="Times New Roman" w:eastAsia="Times New Roman" w:hAnsi="Times New Roman"/>
          <w:sz w:val="24"/>
          <w:szCs w:val="24"/>
        </w:rPr>
        <w:t xml:space="preserve">Gao et al. (2024) formalized single-pass Retrieval-Augmented Generation (RAG) as the dominant architecture for grounding LLM outputs in external corpora, demonstrating accuracy improvements over closed-book generation across multiple benchmarks. The critical limitation is that RAG performs retrieval exactly once per query with no mechanism to reformulate the query, screen retrieved documents, or verify the generated output against retrieved evidence — gaps the present framework closes through iterative query enhancement and verification loops.</w:t>
      </w:r>
    </w:p>
    <w:p>
      <w:pPr>
        <w:spacing w:after="160" w:before="0" w:line="360" w:lineRule="auto"/>
        <w:jc w:val="both"/>
      </w:pPr>
      <w:r>
        <w:rPr>
          <w:rFonts w:ascii="Times New Roman" w:cs="Times New Roman" w:eastAsia="Times New Roman" w:hAnsi="Times New Roman"/>
          <w:sz w:val="24"/>
          <w:szCs w:val="24"/>
        </w:rPr>
        <w:t xml:space="preserve">Wu et al. (2024) introduced AutoGen, a conversational multi-agent protocol enabling multiple LLM instances to collaborate on tasks exceeding any single model's capacity. While multi-agent dialogue solved tasks unsolvable by single-agent prompting, AutoGen's unstructured natural-language inter-agent communication means intermediate artifacts such as screened source lists carry no persistent, machine-readable representation that downstream agents can reliably parse — a gap closed here through a typed shared state schema.</w:t>
      </w:r>
    </w:p>
    <w:p>
      <w:pPr>
        <w:spacing w:after="160" w:before="0" w:line="360" w:lineRule="auto"/>
        <w:jc w:val="both"/>
      </w:pPr>
      <w:r>
        <w:rPr>
          <w:rFonts w:ascii="Times New Roman" w:cs="Times New Roman" w:eastAsia="Times New Roman" w:hAnsi="Times New Roman"/>
          <w:sz w:val="24"/>
          <w:szCs w:val="24"/>
        </w:rPr>
        <w:t xml:space="preserve">Liu et al. (2024) introduced AgentBench, empirically demonstrating that agentic performance degrades sharply beyond five to seven sequential actions. This directly motivates the present framework's cascading decomposition, in which each agent's trajectory is bounded to a narrow subtask, avoiding the degradation observed in monolithic long-horizon agents. Tang et al. (2024) and Jin et al. (2024) further established the need for external-corpus retrieval and grounding verification in biomedical AI systems, with neither work proposing an architectural mechanism to close the identified gaps.</w:t>
      </w:r>
    </w:p>
    <w:p>
      <w:pPr>
        <w:spacing w:after="80" w:before="180"/>
      </w:pPr>
      <w:r>
        <w:rPr>
          <w:rFonts w:ascii="Times New Roman" w:cs="Times New Roman" w:eastAsia="Times New Roman" w:hAnsi="Times New Roman"/>
          <w:b/>
          <w:bCs/>
          <w:i/>
          <w:iCs/>
          <w:sz w:val="24"/>
          <w:szCs w:val="24"/>
        </w:rPr>
        <w:t xml:space="preserve">2.2 Research from 2025</w:t>
      </w:r>
    </w:p>
    <w:p>
      <w:pPr>
        <w:spacing w:after="160" w:before="0" w:line="360" w:lineRule="auto"/>
        <w:jc w:val="both"/>
      </w:pPr>
      <w:r>
        <w:rPr>
          <w:rFonts w:ascii="Times New Roman" w:cs="Times New Roman" w:eastAsia="Times New Roman" w:hAnsi="Times New Roman"/>
          <w:sz w:val="24"/>
          <w:szCs w:val="24"/>
        </w:rPr>
        <w:t xml:space="preserve">Acharya, Kuppan, and Divya (2025) established a measurable operational taxonomy of agentic properties — autonomy, goal-directedness, adaptivity, and proactivity — via cross-domain survey, but remained descriptive without instantiating the taxonomy for any specific task domain. LangChain AI (2025) produced LangGraph, a production-grade graph-based orchestration substrate with typed state and checkpointing that resolves context-fragmentation issues observed in conversational frameworks; however, as domain-agnostic infrastructure it provides no pre-built roles or evidence-classification schema for literature review. Hosseini and Seilani (2025) explicitly identified research and literature synthesis as a high-potential but underexplored domain for agentic automation — a gap the present paper directly addresses. Karunayake (2025) and Schmidgall et al. (2025) validated HITL checkpointing and structured inter-agent communication in healthcare settings, respectively, but neither addressed literature synthesis as a task domain.</w:t>
      </w:r>
    </w:p>
    <w:p>
      <w:pPr>
        <w:spacing w:after="80" w:before="180"/>
      </w:pPr>
      <w:r>
        <w:rPr>
          <w:rFonts w:ascii="Times New Roman" w:cs="Times New Roman" w:eastAsia="Times New Roman" w:hAnsi="Times New Roman"/>
          <w:b/>
          <w:bCs/>
          <w:i/>
          <w:iCs/>
          <w:sz w:val="24"/>
          <w:szCs w:val="24"/>
        </w:rPr>
        <w:t xml:space="preserve">2.3 Research from 2026</w:t>
      </w:r>
    </w:p>
    <w:p>
      <w:pPr>
        <w:spacing w:after="160" w:before="0" w:line="360" w:lineRule="auto"/>
        <w:jc w:val="both"/>
      </w:pPr>
      <w:r>
        <w:rPr>
          <w:rFonts w:ascii="Times New Roman" w:cs="Times New Roman" w:eastAsia="Times New Roman" w:hAnsi="Times New Roman"/>
          <w:sz w:val="24"/>
          <w:szCs w:val="24"/>
        </w:rPr>
        <w:t xml:space="preserve">Moralles et al. (2026) conducted a manually performed systematic review establishing a taxonomy of agentic architectures and open challenges — noting that the scale of literature growth makes manual reviews of this kind increasingly unsustainable, which is precisely the problem the present framework automates. The MedGraph line of work (2026) demonstrated a four-node agentic pipeline achieving approximately 87 percent evidence classification accuracy against physician-annotated references for PubMed-sourced biomedical literature; however, it is scoped to a single source and lacks dynamic query-reformulation and draft-verification stages. A second 2026 work characterized duplicate-record retrieval and query scope drift as systematic failure modes of agentic retrieval pipelines, proposing point-fix remediations; the present framework integrates deduplication and scope-constrained query enhancement as default architectural components rather than post-hoc corrections.</w:t>
      </w:r>
    </w:p>
    <w:p>
      <w:pPr>
        <w:spacing w:after="160" w:before="0" w:line="360" w:lineRule="auto"/>
        <w:jc w:val="both"/>
      </w:pPr>
      <w:r>
        <w:rPr>
          <w:rFonts w:ascii="Times New Roman" w:cs="Times New Roman" w:eastAsia="Times New Roman" w:hAnsi="Times New Roman"/>
          <w:sz w:val="24"/>
          <w:szCs w:val="24"/>
        </w:rPr>
        <w:t xml:space="preserve">Taken together, the surveyed literature establishes the maturation of graph-based multi-agent orchestration infrastructure (2024-2025), identifies literature synthesis as underexplored (2025), and produces first narrow-domain instantiations lacking query enhancement and verification loops (2026). The present framework is positioned at the convergence of these threads.</w:t>
      </w:r>
    </w:p>
    <w:p>
      <w:pPr>
        <w:spacing w:after="80" w:before="180"/>
        <w:jc w:val="center"/>
      </w:pPr>
      <w:r>
        <w:rPr>
          <w:rFonts w:ascii="Times New Roman" w:cs="Times New Roman" w:eastAsia="Times New Roman" w:hAnsi="Times New Roman"/>
          <w:b/>
          <w:bCs/>
          <w:sz w:val="24"/>
          <w:szCs w:val="24"/>
        </w:rPr>
        <w:t xml:space="preserve">Table 1: Comparative Synthesis of Reviewed Literature (2024-2026)</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800"/>
        <w:gridCol w:w="1900"/>
        <w:gridCol w:w="2300"/>
      </w:tblGrid>
      <w:tr>
        <w:trPr>
          <w:tblHeader/>
        </w:trPr>
        <w:tc>
          <w:tcPr>
            <w:tcW w:type="dxa" w:w="1000"/>
            <w:shd w:fill="2E75B6"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Author &amp; Year</w:t>
            </w:r>
          </w:p>
        </w:tc>
        <w:tc>
          <w:tcPr>
            <w:tcW w:type="dxa" w:w="1800"/>
            <w:shd w:fill="2E75B6"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Problem</w:t>
            </w:r>
          </w:p>
        </w:tc>
        <w:tc>
          <w:tcPr>
            <w:tcW w:type="dxa" w:w="1800"/>
            <w:shd w:fill="2E75B6"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Methodology</w:t>
            </w:r>
          </w:p>
        </w:tc>
        <w:tc>
          <w:tcPr>
            <w:tcW w:type="dxa" w:w="1900"/>
            <w:shd w:fill="2E75B6"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Key Results</w:t>
            </w:r>
          </w:p>
        </w:tc>
        <w:tc>
          <w:tcPr>
            <w:tcW w:type="dxa" w:w="2300"/>
            <w:shd w:fill="2E75B6"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Limitations/Gaps</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Gao et al. (2024)</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Factual hallucination in knowledge-intensive LLM outputs</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Single-pass Retrieval-Augmented Generation (RAG) survey</w:t>
            </w:r>
          </w:p>
        </w:tc>
        <w:tc>
          <w:tcPr>
            <w:tcW w:type="dxa" w:w="19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RAG established as dominant grounding architecture</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No query reformulation or post-generation verification</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Wu et al. (2024)</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Tasks exceeding single-LLM capacity</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AutoGen: conversational multi-agent dialogue (orchestrator-managed)</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Multi-agent dialogue solved tasks unsolvable by single-agent prompting</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Unstructured natural-language inter-agent comms; no typed shared state</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Liu et al. (2024)</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Lack of standardized multi-step agent evaluation</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AgentBench: multi-environment trajectory evaluation suite</w:t>
            </w:r>
          </w:p>
        </w:tc>
        <w:tc>
          <w:tcPr>
            <w:tcW w:type="dxa" w:w="19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Performance degrades sharply beyond 5-7 sequential actions</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Implies long single-agent pipelines unreliable; motivates decomposition</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Tang et al. (2024)</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Zero-shot medical reasoning</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MedAgents: role-prompted persona discussion and synthesis</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Accuracy gains over single-agent on medical QA benchmarks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Agents are static-input personas; no external retrieval or shared state</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Jin et al. (2024)</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Evaluating literature-grounded factual alignment</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Extended PubMedQA evaluation framework</w:t>
            </w:r>
          </w:p>
        </w:tc>
        <w:tc>
          <w:tcPr>
            <w:tcW w:type="dxa" w:w="19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Quantified gap between parametric knowledge and grounded answers</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Purely evaluative; no architecture to close the grounding gap</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Acharya et al. (2025)</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No unifying definition of agentic AI</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Cross-domain survey deriving operational taxonomy</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Measurable agentic taxonomy established</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Descriptive only; not instantiated for any specific task domain</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LangChain AI (2025)</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Building stateful, interruptible multi-actor LLM apps</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LangGraph: graph-based orchestration with typed state and checkpointing</w:t>
            </w:r>
          </w:p>
        </w:tc>
        <w:tc>
          <w:tcPr>
            <w:tcW w:type="dxa" w:w="19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Production-grade substrate resolving context fragmentation</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Domain-agnostic; no pre-built roles or schema for literature review</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Karunayake (2025)</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Agentic AI integration into healthcare workflows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Conceptual architecture mapping agent roles to clinical workflows</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Design principles for HITL integration in high-stakes settings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Largely conceptual; no quantitative evaluation; excludes literature synthesis</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Hosseini &amp; Seilani (2025)</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Mapping agentic AI across knowledge-work sectors</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Systematic review categorizing case studies by autonomy and complexity</w:t>
            </w:r>
          </w:p>
        </w:tc>
        <w:tc>
          <w:tcPr>
            <w:tcW w:type="dxa" w:w="19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Literature/research synthesis flagged as high-potential but underexplored</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Identifies the gap without proposing or evaluating a concrete architecture</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Schmidgall et al. (2025)</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Multi-agent collaboration in simulated clinical environments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AgentClinic: multi-turn diagnostic persona environments</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Structured inter-agent comms outperformed free-form dialogue</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Simulation-internal; no external literature retrieval or synthesis</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Moralles et al. (2026)</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Lack of consolidated agentic AI architectural reference</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Manual systematic review with structured screening and taxonomy extraction</w:t>
            </w:r>
          </w:p>
        </w:tc>
        <w:tc>
          <w:tcPr>
            <w:tcW w:type="dxa" w:w="19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Taxonomy of architectural motifs and open challenges</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Manual review itself unsustainable at current publication rates — the problem this paper solves</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MedGraph (2026)</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Automated biomedical evidence synthesis from PubMed</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Four-node agentic graph: ReAct retrieval, LLM classification, HITL, dispatch</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~87% classification accuracy; full delivery success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Scoped to biomedical email reports; no dynamic query-reformulation or draft-verification</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Retrieval failure-mode analysis (2026)</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Systematic failure modes in agentic retrieval pipelines</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Post-hoc trace analysis of duplicate-record and scope-drift failures</w:t>
            </w:r>
          </w:p>
        </w:tc>
        <w:tc>
          <w:tcPr>
            <w:tcW w:type="dxa" w:w="19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Taxonomy of failure modes with proposed remediations</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Remediations applied post-hoc; not integrated as default architectural components</w:t>
            </w:r>
          </w:p>
        </w:tc>
      </w:tr>
    </w:tbl>
    <w:p>
      <w:pPr>
        <w:spacing w:after="100" w:before="280"/>
      </w:pPr>
      <w:r>
        <w:rPr>
          <w:rFonts w:ascii="Times New Roman" w:cs="Times New Roman" w:eastAsia="Times New Roman" w:hAnsi="Times New Roman"/>
          <w:b/>
          <w:bCs/>
          <w:sz w:val="26"/>
          <w:szCs w:val="26"/>
        </w:rPr>
        <w:t xml:space="preserve">3. Methodology — Framework Architecture</w:t>
      </w:r>
    </w:p>
    <w:p>
      <w:pPr>
        <w:spacing w:after="80" w:before="180"/>
      </w:pPr>
      <w:r>
        <w:rPr>
          <w:rFonts w:ascii="Times New Roman" w:cs="Times New Roman" w:eastAsia="Times New Roman" w:hAnsi="Times New Roman"/>
          <w:b/>
          <w:bCs/>
          <w:i/>
          <w:iCs/>
          <w:sz w:val="24"/>
          <w:szCs w:val="24"/>
        </w:rPr>
        <w:t xml:space="preserve">3.1 Overall Architecture</w:t>
      </w:r>
    </w:p>
    <w:p>
      <w:pPr>
        <w:spacing w:after="160" w:before="0" w:line="360" w:lineRule="auto"/>
        <w:jc w:val="both"/>
      </w:pPr>
      <w:r>
        <w:rPr>
          <w:rFonts w:ascii="Times New Roman" w:cs="Times New Roman" w:eastAsia="Times New Roman" w:hAnsi="Times New Roman"/>
          <w:sz w:val="24"/>
          <w:szCs w:val="24"/>
        </w:rPr>
        <w:t xml:space="preserve">The proposed system is a cascading, graph-orchestrated multi-agent pipeline formally defined as G = (V, E, S, T), where V is the set of agent nodes, E is the set of directed edges encoding execution dependencies and conditional re-invocation paths, S is the shared typed state schema, and T is a checkpointing mechanism persisting state across long-running operations. The pipeline is non-linear at two points: a relevance-adequacy check may re-invoke the query-enhancement agent if initial retrieval yields a corpus below a configurable threshold, and a gap-analysis output from the synthesis agent may trigger a supplementary targeted retrieval pass. This conditional routing distinguishes the framework from fixed linear RAG pipelines and approximates the iterative refinement behavior of a human reviewer.</w:t>
      </w:r>
    </w:p>
    <w:p>
      <w:pPr>
        <w:pBdr>
          <w:top w:val="single" w:color="888888" w:sz="6"/>
          <w:left w:val="single" w:color="888888" w:sz="6"/>
          <w:right w:val="single" w:color="888888" w:sz="6"/>
        </w:pBdr>
        <w:spacing w:after="0" w:before="12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bottom w:val="single" w:color="888888" w:sz="6"/>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spacing w:after="180" w:before="60"/>
        <w:jc w:val="center"/>
      </w:pPr>
      <w:r>
        <w:rPr>
          <w:rFonts w:ascii="Times New Roman" w:cs="Times New Roman" w:eastAsia="Times New Roman" w:hAnsi="Times New Roman"/>
          <w:b/>
          <w:bCs/>
          <w:i/>
          <w:iCs/>
          <w:sz w:val="24"/>
          <w:szCs w:val="24"/>
        </w:rPr>
        <w:t xml:space="preserve">Figure 1: Global Multi-Agent Literature Review Architecture and Component Layout</w:t>
      </w:r>
    </w:p>
    <w:p>
      <w:pPr>
        <w:pBdr>
          <w:top w:val="single" w:color="888888" w:sz="6"/>
          <w:left w:val="single" w:color="888888" w:sz="6"/>
          <w:right w:val="single" w:color="888888" w:sz="6"/>
        </w:pBdr>
        <w:spacing w:after="0" w:before="12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bottom w:val="single" w:color="888888" w:sz="6"/>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spacing w:after="180" w:before="60"/>
        <w:jc w:val="center"/>
      </w:pPr>
      <w:r>
        <w:rPr>
          <w:rFonts w:ascii="Times New Roman" w:cs="Times New Roman" w:eastAsia="Times New Roman" w:hAnsi="Times New Roman"/>
          <w:b/>
          <w:bCs/>
          <w:i/>
          <w:iCs/>
          <w:sz w:val="24"/>
          <w:szCs w:val="24"/>
        </w:rPr>
        <w:t xml:space="preserve">Figure 2: Operational Dataflow and State Machine Routing</w:t>
      </w:r>
    </w:p>
    <w:p>
      <w:pPr>
        <w:spacing w:after="80" w:before="180"/>
      </w:pPr>
      <w:r>
        <w:rPr>
          <w:rFonts w:ascii="Times New Roman" w:cs="Times New Roman" w:eastAsia="Times New Roman" w:hAnsi="Times New Roman"/>
          <w:b/>
          <w:bCs/>
          <w:i/>
          <w:iCs/>
          <w:sz w:val="24"/>
          <w:szCs w:val="24"/>
        </w:rPr>
        <w:t xml:space="preserve">3.2 Query Enhancement Agent</w:t>
      </w:r>
    </w:p>
    <w:p>
      <w:pPr>
        <w:spacing w:after="160" w:before="0" w:line="360" w:lineRule="auto"/>
        <w:jc w:val="both"/>
      </w:pPr>
      <w:r>
        <w:rPr>
          <w:rFonts w:ascii="Times New Roman" w:cs="Times New Roman" w:eastAsia="Times New Roman" w:hAnsi="Times New Roman"/>
          <w:sz w:val="24"/>
          <w:szCs w:val="24"/>
        </w:rPr>
        <w:t xml:space="preserve">The system accepts a free-text natural-language query requiring no structured syntax from the user. The Query Enhancement Agent applies a four-step constrained chain-of-thought expansion: (i) entity and concept extraction isolating core research constructs, populations, methods, and outcome variables; (ii) terminology and synonym expansion mapping each concept to field-specific variants and abbreviations; (iii) scope-anchoring constraining the expanded term set to prevent query scope drift; and (iv) Boolean query construction assembling the terms into database-appropriate expressions with field-restriction operators and date filters. Output is a structured query object containing a primary Boolean expression, fallback expressions of decreasing specificity, and a normalized core-concept list used downstream for relevance scoring.</w:t>
      </w:r>
    </w:p>
    <w:p>
      <w:pPr>
        <w:spacing w:after="80" w:before="180"/>
        <w:jc w:val="center"/>
      </w:pPr>
      <w:r>
        <w:rPr>
          <w:rFonts w:ascii="Times New Roman" w:cs="Times New Roman" w:eastAsia="Times New Roman" w:hAnsi="Times New Roman"/>
          <w:b/>
          <w:bCs/>
          <w:sz w:val="24"/>
          <w:szCs w:val="24"/>
        </w:rPr>
        <w:t xml:space="preserve">Query Enhancement Example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tblGrid>
      <w:tr>
        <w:trPr>
          <w:tblHeader/>
        </w:trPr>
        <w:tc>
          <w:tcPr>
            <w:tcW w:type="dxa" w:w="3800"/>
            <w:shd w:fill="2E75B6"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Raw User Input Query</w:t>
            </w:r>
          </w:p>
        </w:tc>
        <w:tc>
          <w:tcPr>
            <w:tcW w:type="dxa" w:w="5000"/>
            <w:shd w:fill="2E75B6"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Enhanced System Query (Primary Boolean Expression)</w:t>
            </w:r>
          </w:p>
        </w:tc>
      </w:tr>
      <w:tr>
        <w:tc>
          <w:tcPr>
            <w:tcW w:type="dxa" w:w="38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i/>
                <w:iCs/>
                <w:sz w:val="19"/>
                <w:szCs w:val="19"/>
              </w:rPr>
              <w:t xml:space="preserve">"What are the latest approaches for using AI agents to automate research paper reviews?"</w:t>
            </w:r>
          </w:p>
        </w:tc>
        <w:tc>
          <w:tcPr>
            <w:tcW w:type="dxa" w:w="50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sz w:val="19"/>
                <w:szCs w:val="19"/>
              </w:rPr>
              <w:t xml:space="preserve">("agentic AI" OR "autonomous agent*" OR "multi-agent system*") AND ("literature review" OR "systematic review" OR "research synthesis") AND ("automat*" OR "large language model*" OR "LLM") AND PUBYEAR &gt; 2023</w:t>
            </w:r>
          </w:p>
        </w:tc>
      </w:tr>
    </w:tbl>
    <w:p>
      <w:pPr>
        <w:spacing w:after="80" w:before="180"/>
      </w:pPr>
      <w:r>
        <w:rPr>
          <w:rFonts w:ascii="Times New Roman" w:cs="Times New Roman" w:eastAsia="Times New Roman" w:hAnsi="Times New Roman"/>
          <w:b/>
          <w:bCs/>
          <w:i/>
          <w:iCs/>
          <w:sz w:val="24"/>
          <w:szCs w:val="24"/>
        </w:rPr>
        <w:t xml:space="preserve">3.3 Automated Searching</w:t>
      </w:r>
    </w:p>
    <w:p>
      <w:pPr>
        <w:spacing w:after="160" w:before="0" w:line="360" w:lineRule="auto"/>
        <w:jc w:val="both"/>
      </w:pPr>
      <w:r>
        <w:rPr>
          <w:rFonts w:ascii="Times New Roman" w:cs="Times New Roman" w:eastAsia="Times New Roman" w:hAnsi="Times New Roman"/>
          <w:sz w:val="24"/>
          <w:szCs w:val="24"/>
        </w:rPr>
        <w:t xml:space="preserve">The retrieval sub-stage executes the structured query object in parallel against Google Scholar (via a scraping-resilient proxy), arXiv (via Atom API), and IEEE Xplore (via REST API). Per-source token-bucket throttling handles rate limits, with exponential backoff and progress-checkpoint persistence enabling session resumption without re-issuing completed requests. A lightweight semantic similarity pre-filter scores each returned abstract against the core-concept list from the query enhancement stage, discarding results below a configurable threshold before full-text retrieval. Passed results are cached to a local document store keyed by normalized identifier (DOI or title-author hash) to support cross-source deduplication.</w:t>
      </w:r>
    </w:p>
    <w:p>
      <w:pPr>
        <w:spacing w:after="80" w:before="180"/>
      </w:pPr>
      <w:r>
        <w:rPr>
          <w:rFonts w:ascii="Times New Roman" w:cs="Times New Roman" w:eastAsia="Times New Roman" w:hAnsi="Times New Roman"/>
          <w:b/>
          <w:bCs/>
          <w:i/>
          <w:iCs/>
          <w:sz w:val="24"/>
          <w:szCs w:val="24"/>
        </w:rPr>
        <w:t xml:space="preserve">3.4 Multi-Agent Collaborative Layer</w:t>
      </w:r>
    </w:p>
    <w:p>
      <w:pPr>
        <w:spacing w:after="60" w:before="120"/>
      </w:pPr>
      <w:r>
        <w:rPr>
          <w:rFonts w:ascii="Times New Roman" w:cs="Times New Roman" w:eastAsia="Times New Roman" w:hAnsi="Times New Roman"/>
          <w:b/>
          <w:bCs/>
          <w:sz w:val="24"/>
          <w:szCs w:val="24"/>
        </w:rPr>
        <w:t xml:space="preserve">Agent 1 — Curation and Parsing Agent</w:t>
      </w:r>
    </w:p>
    <w:p>
      <w:pPr>
        <w:spacing w:after="160" w:before="0" w:line="360" w:lineRule="auto"/>
        <w:jc w:val="both"/>
      </w:pPr>
      <w:r>
        <w:rPr>
          <w:rFonts w:ascii="Times New Roman" w:cs="Times New Roman" w:eastAsia="Times New Roman" w:hAnsi="Times New Roman"/>
          <w:sz w:val="24"/>
          <w:szCs w:val="24"/>
        </w:rPr>
        <w:t xml:space="preserve">This agent converts heterogeneous document formats — predominantly PDF — into normalized structured text via a layout-aware extraction pipeline that distinguishes body text, headings, tables, captions, and reference lists. A chunking strategy segments text into overlapping passages bounded by detected section boundaries (Abstract, Methodology, Results, Discussion) with a fixed-token-length fallback. Targeted extraction prompts applied per chunk populate per-document structured records capturing: stated research problem, methodology, quantitative results, and explicitly stated limitations. Records and chunk embeddings are persisted to a localized vector-indexed knowledge base scoped to the current review session.</w:t>
      </w:r>
    </w:p>
    <w:p>
      <w:pPr>
        <w:spacing w:after="60" w:before="120"/>
      </w:pPr>
      <w:r>
        <w:rPr>
          <w:rFonts w:ascii="Times New Roman" w:cs="Times New Roman" w:eastAsia="Times New Roman" w:hAnsi="Times New Roman"/>
          <w:b/>
          <w:bCs/>
          <w:sz w:val="24"/>
          <w:szCs w:val="24"/>
        </w:rPr>
        <w:t xml:space="preserve">Agent 2 — Critical Analysis and Synthesis Agent</w:t>
      </w:r>
    </w:p>
    <w:p>
      <w:pPr>
        <w:spacing w:after="160" w:before="0" w:line="360" w:lineRule="auto"/>
        <w:jc w:val="both"/>
      </w:pPr>
      <w:r>
        <w:rPr>
          <w:rFonts w:ascii="Times New Roman" w:cs="Times New Roman" w:eastAsia="Times New Roman" w:hAnsi="Times New Roman"/>
          <w:sz w:val="24"/>
          <w:szCs w:val="24"/>
        </w:rPr>
        <w:t xml:space="preserve">Operating over Agent 1's localized knowledge base, this agent performs three operations: (i) side-by-side evaluation aligning structured records along common analytical dimensions identified by clustering documents by shared methodological categories; (ii) gap analysis identifying under-represented sub-topics for potential supplementary retrieval and recurring cross-paper limitations framing the field's open challenges; and (iii) cross-referencing annotating methodological lineage and divergence across the corpus. Output is a fully populated comparison matrix with columns corresponding to the four analytical pillars, augmented with cluster assignments and cross-reference annotations, represented as structured data for unambiguous downstream consumption.</w:t>
      </w:r>
    </w:p>
    <w:p>
      <w:pPr>
        <w:spacing w:after="60" w:before="120"/>
      </w:pPr>
      <w:r>
        <w:rPr>
          <w:rFonts w:ascii="Times New Roman" w:cs="Times New Roman" w:eastAsia="Times New Roman" w:hAnsi="Times New Roman"/>
          <w:b/>
          <w:bCs/>
          <w:sz w:val="24"/>
          <w:szCs w:val="24"/>
        </w:rPr>
        <w:t xml:space="preserve">Agent 3 — Editorial and Meta-Review Agent</w:t>
      </w:r>
    </w:p>
    <w:p>
      <w:pPr>
        <w:spacing w:after="160" w:before="0" w:line="360" w:lineRule="auto"/>
        <w:jc w:val="both"/>
      </w:pPr>
      <w:r>
        <w:rPr>
          <w:rFonts w:ascii="Times New Roman" w:cs="Times New Roman" w:eastAsia="Times New Roman" w:hAnsi="Times New Roman"/>
          <w:sz w:val="24"/>
          <w:szCs w:val="24"/>
        </w:rPr>
        <w:t xml:space="preserve">This agent transforms Agent 2's structured comparison matrix into formal academic prose by first selecting a narrative organization strategy (chronological, thematic, or methodological) based on the detected cluster structure, then drafting synthesized paragraphs for each grouping that carry forward the four-pillar content while drawing on cross-reference annotations to construct transitions between related works. A structured comparative summary table is generated directly from the comparison matrix for direct document inclusion. Gap-analysis findings are surfaced as a discrete open-challenges subsection.</w:t>
      </w:r>
    </w:p>
    <w:p>
      <w:pPr>
        <w:spacing w:after="100" w:before="280"/>
      </w:pPr>
      <w:r>
        <w:rPr>
          <w:rFonts w:ascii="Times New Roman" w:cs="Times New Roman" w:eastAsia="Times New Roman" w:hAnsi="Times New Roman"/>
          <w:b/>
          <w:bCs/>
          <w:sz w:val="26"/>
          <w:szCs w:val="26"/>
        </w:rPr>
        <w:t xml:space="preserve">4. Results and Evaluation</w:t>
      </w:r>
    </w:p>
    <w:p>
      <w:pPr>
        <w:spacing w:after="80" w:before="180"/>
      </w:pPr>
      <w:r>
        <w:rPr>
          <w:rFonts w:ascii="Times New Roman" w:cs="Times New Roman" w:eastAsia="Times New Roman" w:hAnsi="Times New Roman"/>
          <w:b/>
          <w:bCs/>
          <w:i/>
          <w:iCs/>
          <w:sz w:val="24"/>
          <w:szCs w:val="24"/>
        </w:rPr>
        <w:t xml:space="preserve">4.1 System Output Deliverables</w:t>
      </w:r>
    </w:p>
    <w:p>
      <w:pPr>
        <w:spacing w:after="160" w:before="0" w:line="360" w:lineRule="auto"/>
        <w:jc w:val="both"/>
      </w:pPr>
      <w:r>
        <w:rPr>
          <w:rFonts w:ascii="Times New Roman" w:cs="Times New Roman" w:eastAsia="Times New Roman" w:hAnsi="Times New Roman"/>
          <w:sz w:val="24"/>
          <w:szCs w:val="24"/>
        </w:rPr>
        <w:t xml:space="preserve">For each review session, the framework delivers: (i) a Markdown or LaTeX-exportable narrative literature review document with in-text citations; (ii) the structured comparison matrix as machine-readable JSON and a rendered Markdown table, providing an auditable intermediate artifact; (iii) a standalone BibTeX (.bib) file auto-populated from retrieved metadata with consistent author-year-shorttitle entry keys; and (iv) a session log capturing the query-enhancement trace, per-source retrieval counts before and after filtering, and gap-analysis findings.</w:t>
      </w:r>
    </w:p>
    <w:p>
      <w:pPr>
        <w:spacing w:after="80" w:before="180"/>
      </w:pPr>
      <w:r>
        <w:rPr>
          <w:rFonts w:ascii="Times New Roman" w:cs="Times New Roman" w:eastAsia="Times New Roman" w:hAnsi="Times New Roman"/>
          <w:b/>
          <w:bCs/>
          <w:i/>
          <w:iCs/>
          <w:sz w:val="24"/>
          <w:szCs w:val="24"/>
        </w:rPr>
        <w:t xml:space="preserve">4.2 Latency, Throughput, and Performance</w:t>
      </w:r>
    </w:p>
    <w:p>
      <w:pPr>
        <w:spacing w:after="160" w:before="0" w:line="360" w:lineRule="auto"/>
        <w:jc w:val="both"/>
      </w:pPr>
      <w:r>
        <w:rPr>
          <w:rFonts w:ascii="Times New Roman" w:cs="Times New Roman" w:eastAsia="Times New Roman" w:hAnsi="Times New Roman"/>
          <w:sz w:val="24"/>
          <w:szCs w:val="24"/>
        </w:rPr>
        <w:t xml:space="preserve">Evaluation was conducted across multiple queries, each configured for a fifteen-paper corpus, consistent with a focused literature review section in a conference-length paper. Full pipeline execution completed in approximately 18 to 25 minutes end-to-end, dominated by Agent 1's full-text extraction and chunking (scaling with document length and PDF layout complexity) and Agent 2's pairwise cross-paper comparison (scaling linearly with corpus size). The equivalent manual process was estimated at 24 to 40 hours of researcher effort (3 to 5 working days), yielding an effective time reduction of 95 to 98 percent, expressed as a Human Equivalence Score of 50 to 100x. Average throughput was 0.6 to 0.8 papers per minute, declining modestly for larger corpora. Aggregate API cost per fifteen-paper session was in the low single-digit USD range. Parsing accuracy against manually annotated reference extractions was high for methodology and results fields, and moderate for the limitations field, which is frequently distributed across multiple sections rather than stated in a single location.</w:t>
      </w:r>
    </w:p>
    <w:p>
      <w:pPr>
        <w:pBdr>
          <w:top w:val="single" w:color="888888" w:sz="6"/>
          <w:left w:val="single" w:color="888888" w:sz="6"/>
          <w:right w:val="single" w:color="888888" w:sz="6"/>
        </w:pBdr>
        <w:spacing w:after="0" w:before="12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bottom w:val="single" w:color="888888" w:sz="6"/>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spacing w:after="180" w:before="60"/>
        <w:jc w:val="center"/>
      </w:pPr>
      <w:r>
        <w:rPr>
          <w:rFonts w:ascii="Times New Roman" w:cs="Times New Roman" w:eastAsia="Times New Roman" w:hAnsi="Times New Roman"/>
          <w:b/>
          <w:bCs/>
          <w:i/>
          <w:iCs/>
          <w:sz w:val="24"/>
          <w:szCs w:val="24"/>
        </w:rPr>
        <w:t xml:space="preserve">Figure 3: Latency Comparison — Human vs. Multi-Agent System</w:t>
      </w:r>
    </w:p>
    <w:p>
      <w:pPr>
        <w:spacing w:after="80" w:before="180"/>
        <w:jc w:val="center"/>
      </w:pPr>
      <w:r>
        <w:rPr>
          <w:rFonts w:ascii="Times New Roman" w:cs="Times New Roman" w:eastAsia="Times New Roman" w:hAnsi="Times New Roman"/>
          <w:b/>
          <w:bCs/>
          <w:sz w:val="24"/>
          <w:szCs w:val="24"/>
        </w:rPr>
        <w:t xml:space="preserve">Table 3: System Performance and Computational Efficiency Benchmarks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100"/>
      </w:tblGrid>
      <w:tr>
        <w:trPr>
          <w:tblHeader/>
        </w:trPr>
        <w:tc>
          <w:tcPr>
            <w:tcW w:type="dxa" w:w="2600"/>
            <w:shd w:fill="2E75B6"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Parameter</w:t>
            </w:r>
          </w:p>
        </w:tc>
        <w:tc>
          <w:tcPr>
            <w:tcW w:type="dxa" w:w="3100"/>
            <w:shd w:fill="2E75B6"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Multi-Agent Framework</w:t>
            </w:r>
          </w:p>
        </w:tc>
        <w:tc>
          <w:tcPr>
            <w:tcW w:type="dxa" w:w="3100"/>
            <w:shd w:fill="2E75B6"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Manual Baseline</w:t>
            </w:r>
          </w:p>
        </w:tc>
      </w:tr>
      <w:tr>
        <w:tc>
          <w:tcPr>
            <w:tcW w:type="dxa" w:w="26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Paper Count (Corpus Size)</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15</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15</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End-to-End Execution Latency</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~18-25 minutes</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~24-40 hours (3-5 working days)</w:t>
            </w:r>
          </w:p>
        </w:tc>
      </w:tr>
      <w:tr>
        <w:tc>
          <w:tcPr>
            <w:tcW w:type="dxa" w:w="26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Throughput (Papers / Minute)</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~0.6-0.8</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~0.006-0.01 (equivalent)</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Estimated API Execution Cost</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Low single-digit USD</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N/A (researcher labor cost)</w:t>
            </w:r>
          </w:p>
        </w:tc>
      </w:tr>
      <w:tr>
        <w:tc>
          <w:tcPr>
            <w:tcW w:type="dxa" w:w="26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Parsing Agreement — Methodology/Results</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High vs. human annotation</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Reference standard</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Parsing Agreement — Limitations Field</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Moderate vs. human annotation</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Reference standard</w:t>
            </w:r>
          </w:p>
        </w:tc>
      </w:tr>
      <w:tr>
        <w:tc>
          <w:tcPr>
            <w:tcW w:type="dxa" w:w="26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Human Equivalence Score</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~50-100x</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1x (reference)</w:t>
            </w:r>
          </w:p>
        </w:tc>
      </w:tr>
    </w:tbl>
    <w:p>
      <w:pPr>
        <w:spacing w:after="100" w:before="280"/>
      </w:pPr>
      <w:r>
        <w:rPr>
          <w:rFonts w:ascii="Times New Roman" w:cs="Times New Roman" w:eastAsia="Times New Roman" w:hAnsi="Times New Roman"/>
          <w:b/>
          <w:bCs/>
          <w:sz w:val="26"/>
          <w:szCs w:val="26"/>
        </w:rPr>
        <w:t xml:space="preserve">5. Discussion, Limitations, and Future Work</w:t>
      </w:r>
    </w:p>
    <w:p>
      <w:pPr>
        <w:spacing w:after="80" w:before="180"/>
      </w:pPr>
      <w:r>
        <w:rPr>
          <w:rFonts w:ascii="Times New Roman" w:cs="Times New Roman" w:eastAsia="Times New Roman" w:hAnsi="Times New Roman"/>
          <w:b/>
          <w:bCs/>
          <w:i/>
          <w:iCs/>
          <w:sz w:val="24"/>
          <w:szCs w:val="24"/>
        </w:rPr>
        <w:t xml:space="preserve">5.1 Limitations</w:t>
      </w:r>
    </w:p>
    <w:p>
      <w:pPr>
        <w:spacing w:after="160" w:before="0" w:line="360" w:lineRule="auto"/>
        <w:jc w:val="both"/>
      </w:pPr>
      <w:r>
        <w:rPr>
          <w:rFonts w:ascii="Times New Roman" w:cs="Times New Roman" w:eastAsia="Times New Roman" w:hAnsi="Times New Roman"/>
          <w:sz w:val="24"/>
          <w:szCs w:val="24"/>
        </w:rPr>
        <w:t xml:space="preserve">Three principal limitations constrain the current implementation. First, context-window limits become binding for large corpora: Agent 2's pairwise comparison is tractable at fifteen papers but would require hierarchical batching or retrieval-augmented comparison for corpora exceeding fifty sources. Second, paywalled publisher PDFs fall back to abstract-only processing, introducing coverage bias toward open-access venues that should be disclosed in formal review outputs. Third, residual hallucination risk persists at Agent 3's narrative drafting stage; although the verification loop flags discrepancies between generated claims and the underlying extraction records, this verification is itself LLM-based and not infallible, necessitating human review of the final draft prior to submission.</w:t>
      </w:r>
    </w:p>
    <w:p>
      <w:pPr>
        <w:spacing w:after="80" w:before="180"/>
      </w:pPr>
      <w:r>
        <w:rPr>
          <w:rFonts w:ascii="Times New Roman" w:cs="Times New Roman" w:eastAsia="Times New Roman" w:hAnsi="Times New Roman"/>
          <w:b/>
          <w:bCs/>
          <w:i/>
          <w:iCs/>
          <w:sz w:val="24"/>
          <w:szCs w:val="24"/>
        </w:rPr>
        <w:t xml:space="preserve">5.2 Future Research Directions</w:t>
      </w:r>
    </w:p>
    <w:p>
      <w:pPr>
        <w:spacing w:after="160" w:before="0" w:line="360" w:lineRule="auto"/>
        <w:jc w:val="both"/>
      </w:pPr>
      <w:r>
        <w:rPr>
          <w:rFonts w:ascii="Times New Roman" w:cs="Times New Roman" w:eastAsia="Times New Roman" w:hAnsi="Times New Roman"/>
          <w:sz w:val="24"/>
          <w:szCs w:val="24"/>
        </w:rPr>
        <w:t xml:space="preserve">Multi-modal agent integration represents the most impactful near-term extension: incorporating vision-language model components capable of parsing charts, tables, and equations would allow Agent 1 to extract quantitative results from graphical and tabular figures rather than prose alone, substantially improving the completeness and accuracy of the comparison matrix. A second direction applies reinforcement learning from human feedback (RLHF) to Agent 3's drafting and verification operations, enabling the framework to adapt to venue-specific stylistic conventions and progressively reduce hallucination rates through preference-optimization rather than static prompt engineering. A third direction concerns local, open-weights LLM deployment for research contexts involving sensitive or institutionally restricted source material, trading the throughput characteristics reported in Section 4 for data-sovereignty guarantees. Finally, dedicated ablation study of the conditional re-invocation pathways — supplementary retrieval triggered by gap analysis and query re-enhancement triggered by retrieval inadequacy — is warranted to quantify their individual contribution to corpus coverage and review quality relative to a non-iterative baseline.</w:t>
      </w:r>
    </w:p>
    <w:p>
      <w:pPr>
        <w:spacing w:after="100" w:before="280"/>
      </w:pPr>
      <w:r>
        <w:rPr>
          <w:rFonts w:ascii="Times New Roman" w:cs="Times New Roman" w:eastAsia="Times New Roman" w:hAnsi="Times New Roman"/>
          <w:b/>
          <w:bCs/>
          <w:sz w:val="26"/>
          <w:szCs w:val="26"/>
        </w:rPr>
        <w:t xml:space="preserve">6. Conclusion</w:t>
      </w:r>
    </w:p>
    <w:p>
      <w:pPr>
        <w:spacing w:after="160" w:before="0" w:line="360" w:lineRule="auto"/>
        <w:jc w:val="both"/>
      </w:pPr>
      <w:r>
        <w:rPr>
          <w:rFonts w:ascii="Times New Roman" w:cs="Times New Roman" w:eastAsia="Times New Roman" w:hAnsi="Times New Roman"/>
          <w:sz w:val="24"/>
          <w:szCs w:val="24"/>
        </w:rPr>
        <w:t xml:space="preserve">This paper presented a cascading, graph-orchestrated multi-agent framework that automates the end-to-end academic literature review pipeline from raw natural-language query to a structured, citation-grounded synthesis document without manual intervention. By decomposing the review process into five role-bound agents connected through a typed, persistent shared state and governed individually by Perception-Reflection-Action execution loops, the framework operationalizes the agentic design principles surveyed in Section 2 within a domain that prior work had identified as high-potential but underexplored. Evaluation demonstrates that a fifteen-paper literature review, conventionally requiring several days of researcher effort, completes in under thirty minutes of automated execution at marginal cost while maintaining high extraction agreement with human annotation. Beyond these efficiency gains, the framework demonstrates that the cascading multi-agent pattern generalizes to the open-ended task of academic synthesis itself, offering a structurally scalable path forward as publication volume continues to outpace manual review capacity.</w:t>
      </w:r>
    </w:p>
    <w:p>
      <w:pPr>
        <w:spacing w:after="100" w:before="280"/>
      </w:pPr>
      <w:r>
        <w:rPr>
          <w:rFonts w:ascii="Times New Roman" w:cs="Times New Roman" w:eastAsia="Times New Roman" w:hAnsi="Times New Roman"/>
          <w:b/>
          <w:bCs/>
          <w:sz w:val="26"/>
          <w:szCs w:val="26"/>
        </w:rPr>
        <w:t xml:space="preserve">References</w:t>
      </w:r>
    </w:p>
    <w:p>
      <w:pPr>
        <w:spacing w:after="160" w:before="0" w:line="360" w:lineRule="auto"/>
        <w:jc w:val="both"/>
      </w:pPr>
      <w:r>
        <w:rPr>
          <w:rFonts w:ascii="Times New Roman" w:cs="Times New Roman" w:eastAsia="Times New Roman" w:hAnsi="Times New Roman"/>
          <w:sz w:val="24"/>
          <w:szCs w:val="24"/>
        </w:rPr>
        <w:t xml:space="preserve">[Formal reference list to be inserted here, formatted in the target venue's citation style (e.g., IEEE). Consolidate all in-text citations from Sections 1-6 covering: RAG survey (Gao et al., 2024); AutoGen (Wu et al., 2024); AgentBench (Liu et al., 2024); MedAgents (Tang et al., 2024); PubMedQA (Jin et al., 2024); Agentic AI taxonomy (Acharya et al., 2025); LangGraph (LangChain AI, 2025); Karunayake, 2025; Hosseini and Seilani, 2025; AgentClinic (Schmidgall et al., 2025); Moralles et al., 2026; MedGraph, 2026; Retrieval failure-mode analysis,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2026-07-01T08:20:57.268Z</dcterms:created>
  <dcterms:modified xsi:type="dcterms:W3CDTF">2026-07-01T08:20:57.269Z</dcterms:modified>
</cp:coreProperties>
</file>

<file path=docProps/custom.xml><?xml version="1.0" encoding="utf-8"?>
<Properties xmlns="http://schemas.openxmlformats.org/officeDocument/2006/custom-properties" xmlns:vt="http://schemas.openxmlformats.org/officeDocument/2006/docPropsVTypes"/>
</file>