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rFonts w:ascii="Times New Roman" w:cs="Times New Roman" w:eastAsia="Times New Roman" w:hAnsi="Times New Roman"/>
          <w:b/>
          <w:bCs/>
          <w:sz w:val="30"/>
          <w:szCs w:val="30"/>
        </w:rPr>
        <w:t xml:space="preserve">Automating the Scientific Synthesis Loop: A Cascading Multi-Agent Framework for End-to-End Literature Review Generation</w:t>
      </w:r>
    </w:p>
    <w:p>
      <w:pPr>
        <w:spacing w:after="100" w:before="0"/>
        <w:jc w:val="center"/>
      </w:pPr>
      <w:r>
        <w:rPr>
          <w:rFonts w:ascii="Times New Roman" w:cs="Times New Roman" w:eastAsia="Times New Roman" w:hAnsi="Times New Roman"/>
          <w:b/>
          <w:bCs/>
          <w:sz w:val="26"/>
          <w:szCs w:val="26"/>
        </w:rPr>
        <w:t xml:space="preserve">Abstract</w:t>
      </w:r>
    </w:p>
    <w:p>
      <w:pPr>
        <w:spacing w:after="120" w:before="0" w:line="276" w:lineRule="auto"/>
        <w:jc w:val="both"/>
      </w:pPr>
      <w:r>
        <w:rPr>
          <w:rFonts w:ascii="Times New Roman" w:cs="Times New Roman" w:eastAsia="Times New Roman" w:hAnsi="Times New Roman"/>
          <w:sz w:val="24"/>
          <w:szCs w:val="24"/>
        </w:rPr>
        <w:t xml:space="preserve">The exponential growth of scholarly publication output has rendered manual literature review an increasingly unsustainable component of the research lifecycle [1][26]. While Large Language Models (LLMs) have demonstrated competence in isolated subtasks such as summarization and question answering [21][33], static single-pass prompting architectures remain structurally incapable of replicating the iterative, evaluative, and self-correcting nature of human scholarly review. This paper presents a cascading multi-agent framework that fully automates the literature review pipeline, transforming a raw natural-language research query into a structured, citation-grounded synthesis document without manual intervention. The architecture decomposes the review process into specialized, role-bound agents governed by a Perception-Reflection-Action execution loop [20] and orchestrated through dynamic state-routing across a shared context graph [7]. Distinct agents are responsible for query decomposition and search-term enhancement, multi-source retrieval and deduplication [14], relevance screening against semantic embeddings [24], evidence-strength classification, and structured draft synthesis, with an integrated verification loop that audits factual grounding before final output [28]. Empirical evaluation across multiple research domains demonstrates reductions in end-to-end synthesis latency of approximately 95-98% relative to manual workflows, alongside high precision-recall performance in source screening and citation fidelity. The proposed framework establishes a reproducible, extensible blueprint for agentic automation of knowledge-intensive academic workflows.</w:t>
      </w:r>
    </w:p>
    <w:p>
      <w:pPr>
        <w:spacing w:after="24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Agentic AI, Multi-Agent Systems, Literature Review Automation, Retrieval-Augmented Generation, Context-Window Orchestration, LangGraph</w:t>
      </w:r>
    </w:p>
    <w:p>
      <w:pPr>
        <w:spacing w:after="120" w:before="300"/>
      </w:pPr>
      <w:r>
        <w:rPr>
          <w:rFonts w:ascii="Times New Roman" w:cs="Times New Roman" w:eastAsia="Times New Roman" w:hAnsi="Times New Roman"/>
          <w:b/>
          <w:bCs/>
          <w:sz w:val="28"/>
          <w:szCs w:val="28"/>
        </w:rPr>
        <w:t xml:space="preserve">1. Introduction</w:t>
      </w:r>
    </w:p>
    <w:p>
      <w:pPr>
        <w:spacing w:after="120" w:before="0" w:line="276" w:lineRule="auto"/>
        <w:jc w:val="both"/>
      </w:pPr>
      <w:r>
        <w:rPr>
          <w:rFonts w:ascii="Times New Roman" w:cs="Times New Roman" w:eastAsia="Times New Roman" w:hAnsi="Times New Roman"/>
          <w:sz w:val="24"/>
          <w:szCs w:val="24"/>
        </w:rPr>
        <w:t xml:space="preserve">The emergence of Agentic AI marks a structural departure from the request-response paradigm that has dominated applications of Large Language Models (LLMs) since their inception [18][20]. Where conventional LLM deployment treats the model as a stateless function mapping a single input prompt to a single output completion [21][22], agentic systems instantiate the model as a persistent reasoning entity embedded within an iterative Perception-Reflection-Action control loop [15][20]. This recursive structure enables multi-step planning, tool invocation, error detection, and self-correction across extended task horizons that would otherwise exceed the effective reasoning capacity of a single inference pass [16][19].</w:t>
      </w:r>
    </w:p>
    <w:p>
      <w:pPr>
        <w:spacing w:after="120" w:before="0" w:line="276" w:lineRule="auto"/>
        <w:jc w:val="both"/>
      </w:pPr>
      <w:r>
        <w:rPr>
          <w:rFonts w:ascii="Times New Roman" w:cs="Times New Roman" w:eastAsia="Times New Roman" w:hAnsi="Times New Roman"/>
          <w:sz w:val="24"/>
          <w:szCs w:val="24"/>
        </w:rPr>
        <w:t xml:space="preserve">This paradigm gained momentum through three enabling capabilities matured between 2023 and 2026: structured tool-calling interfaces allowing models to invoke external functions with typed arguments [16][17], extended context windows permitting the retention of intermediate reasoning artifacts across long-running sessions [21][35], and orchestration frameworks formalizing multi-step execution as directed graphs with conditional routing and persistent state [7][34]. Early agentic implementations were largely confined to single-agent tool-use loops exemplified by the ReAct pattern of interleaved reasoning traces and tool actions [15]. By 2025, this had evolved into multi-agent topologies in which discrete agents, each scoped to a narrow functional responsibility and governed by its own perception-reflection-action loop, communicate through a shared, typed state object rather than unstructured natural-language handoffs [2][7] — the defining architectural trend of agentic AI as of 2026 [6][11].</w:t>
      </w:r>
    </w:p>
    <w:p>
      <w:pPr>
        <w:spacing w:after="120" w:before="0" w:line="276" w:lineRule="auto"/>
        <w:jc w:val="both"/>
      </w:pPr>
      <w:r>
        <w:rPr>
          <w:rFonts w:ascii="Times New Roman" w:cs="Times New Roman" w:eastAsia="Times New Roman" w:hAnsi="Times New Roman"/>
          <w:sz w:val="24"/>
          <w:szCs w:val="24"/>
        </w:rPr>
        <w:t xml:space="preserve">Multi-agent collaboration of this kind has moved beyond academic prototyping into operational deployment across domains characterized by long-horizon, multi-stage workflows [2][3]. In software engineering, agent ensembles now perform pipelines spanning requirements decomposition, code generation, automated test construction, and iterative debugging [2]. In enterprise data operations, multi-agent systems orchestrate extraction, transformation, and validation stages across heterogeneous document formats [18]. In biomedical and scientific informatics, comparable architectures retrieve domain literature, classify evidence quality, and route outputs through human-in-the-loop checkpoints [8][12]. Across these deployments, the common signature is a cascading division of labor in which each agent's output constitutes a typed, validated input to the next, with context-window orchestration ensuring that only the relevant subset of accumulated state is passed forward at each stage [7][27].</w:t>
      </w:r>
    </w:p>
    <w:p>
      <w:pPr>
        <w:spacing w:after="120" w:before="0" w:line="276" w:lineRule="auto"/>
        <w:jc w:val="both"/>
      </w:pPr>
      <w:r>
        <w:rPr>
          <w:rFonts w:ascii="Times New Roman" w:cs="Times New Roman" w:eastAsia="Times New Roman" w:hAnsi="Times New Roman"/>
          <w:sz w:val="24"/>
          <w:szCs w:val="24"/>
        </w:rPr>
        <w:t xml:space="preserve">Academic literature review, by contrast, remains predominantly manual despite being structurally well-suited to agentic decomposition [9][25]. The conventional workflow requires a researcher to formulate queries, screen abstracts against inclusion and exclusion criteria, retrieve and read full texts, extract methodological and empirical details, assess evidentiary strength [26], and synthesize heterogeneous findings into a coherent narrative — all performed sequentially by a single individual. The systemic inefficiencies compound across three dimensions: substantial temporal cost spanning days to weeks for a moderately scoped review [25]; a structural parsing bottleneck that scales linearly with corpus size; and the absence of a verification mechanism analogous to the critic-reviewer loops now standard in agentic software engineering [2][3], meaning that screening errors propagate undetected into the final synthesis.</w:t>
      </w:r>
    </w:p>
    <w:p>
      <w:pPr>
        <w:spacing w:after="120" w:before="0" w:line="276" w:lineRule="auto"/>
        <w:jc w:val="both"/>
      </w:pPr>
      <w:r>
        <w:rPr>
          <w:rFonts w:ascii="Times New Roman" w:cs="Times New Roman" w:eastAsia="Times New Roman" w:hAnsi="Times New Roman"/>
          <w:sz w:val="24"/>
          <w:szCs w:val="24"/>
        </w:rPr>
        <w:t xml:space="preserve">This paper addresses these constraints through a cascading multi-agent framework accepting a raw natural-language query as input and producing a structured, citation-grounded synthesis document without intermediate manual steps. The core contributions are: (1) a cascading multi-agent architecture with dynamic state-routing and conditional re-invocation of upstream stages [15][7]; (2) a dynamic query-enhancement mechanism performing semantic decomposition and iterative reformulation [1][14]; (3) a localized evidence-evaluation matrix providing structured intermediate representation for downstream synthesis [12]; and (4) an automated verification loop auditing citation fidelity and factual grounding before final output [28].</w:t>
      </w:r>
    </w:p>
    <w:p>
      <w:pPr>
        <w:spacing w:after="120" w:before="300"/>
      </w:pPr>
      <w:r>
        <w:rPr>
          <w:rFonts w:ascii="Times New Roman" w:cs="Times New Roman" w:eastAsia="Times New Roman" w:hAnsi="Times New Roman"/>
          <w:b/>
          <w:bCs/>
          <w:sz w:val="28"/>
          <w:szCs w:val="28"/>
        </w:rPr>
        <w:t xml:space="preserve">2. Literature Review</w:t>
      </w:r>
    </w:p>
    <w:p>
      <w:pPr>
        <w:spacing w:after="120" w:before="0" w:line="276" w:lineRule="auto"/>
        <w:jc w:val="both"/>
      </w:pPr>
      <w:r>
        <w:rPr>
          <w:rFonts w:ascii="Times New Roman" w:cs="Times New Roman" w:eastAsia="Times New Roman" w:hAnsi="Times New Roman"/>
          <w:sz w:val="24"/>
          <w:szCs w:val="24"/>
        </w:rPr>
        <w:t xml:space="preserve">The 2024-2026 literature on agentic AI and scientific information retrieval is analyzed below, organized chronologically into three subsections. Each work is examined along four analytical pillars: problem addressed, methodology employed, key results, and critical limitations motivating the present framework.</w:t>
      </w:r>
    </w:p>
    <w:p>
      <w:pPr>
        <w:spacing w:after="100" w:before="200"/>
      </w:pPr>
      <w:r>
        <w:rPr>
          <w:rFonts w:ascii="Times New Roman" w:cs="Times New Roman" w:eastAsia="Times New Roman" w:hAnsi="Times New Roman"/>
          <w:b/>
          <w:bCs/>
          <w:i/>
          <w:iCs/>
          <w:sz w:val="26"/>
          <w:szCs w:val="26"/>
        </w:rPr>
        <w:t xml:space="preserve">2.1 Research from 2024</w:t>
      </w:r>
    </w:p>
    <w:p>
      <w:pPr>
        <w:spacing w:after="120" w:before="0" w:line="276" w:lineRule="auto"/>
        <w:jc w:val="both"/>
      </w:pPr>
      <w:r>
        <w:rPr>
          <w:rFonts w:ascii="Times New Roman" w:cs="Times New Roman" w:eastAsia="Times New Roman" w:hAnsi="Times New Roman"/>
          <w:sz w:val="24"/>
          <w:szCs w:val="24"/>
        </w:rPr>
        <w:t xml:space="preserve">Gao et al. [1] addressed factual staleness and hallucination in knowledge-intensive LLM outputs, consolidating the Retrieval-Augmented Generation paradigm [14] into a systematic survey formalizing the retrieve-then-generate pipeline. Their key result was the establishment of RAG as the dominant grounding architecture with documented accuracy improvements over closed-book generation. The critical limitation is that single-pass RAG performs retrieval exactly once per query with no mechanism for query reformulation, relevance screening, or post-generation verification — gaps the present framework closes through iterative enhancement and verification components.</w:t>
      </w:r>
    </w:p>
    <w:p>
      <w:pPr>
        <w:spacing w:after="120" w:before="0" w:line="276" w:lineRule="auto"/>
        <w:jc w:val="both"/>
      </w:pPr>
      <w:r>
        <w:rPr>
          <w:rFonts w:ascii="Times New Roman" w:cs="Times New Roman" w:eastAsia="Times New Roman" w:hAnsi="Times New Roman"/>
          <w:sz w:val="24"/>
          <w:szCs w:val="24"/>
        </w:rPr>
        <w:t xml:space="preserve">Wu et al. [2] introduced AutoGen, a conversational multi-agent protocol enabling LLM instances to collaborate on tasks exceeding any single model's capacity. While multi-agent dialogue solved tasks unsolvable by single-agent prompting through critique-correction cycles, AutoGen's unstructured natural-language inter-agent communication means intermediate artifacts carry no persistent, machine-readable representation parseable by downstream agents — a gap closed here through a typed shared state schema [7].</w:t>
      </w:r>
    </w:p>
    <w:p>
      <w:pPr>
        <w:spacing w:after="120" w:before="0" w:line="276" w:lineRule="auto"/>
        <w:jc w:val="both"/>
      </w:pPr>
      <w:r>
        <w:rPr>
          <w:rFonts w:ascii="Times New Roman" w:cs="Times New Roman" w:eastAsia="Times New Roman" w:hAnsi="Times New Roman"/>
          <w:sz w:val="24"/>
          <w:szCs w:val="24"/>
        </w:rPr>
        <w:t xml:space="preserve">Liu et al. [3] introduced AgentBench, empirically demonstrating that agentic performance degrades sharply beyond five to seven sequential actions. This directly motivates the cascading decomposition of the present framework, bounding each agent's trajectory to a narrow subtask and avoiding the degradation observed in monolithic long-horizon agents. Tang et al. [4] demonstrated accuracy gains from role-prompted multi-agent collaboration in medical reasoning, but their agents operate on static inputs without external retrieval or shared mutable state. Jin et al. [5] quantified the gap between parametric LLM knowledge and literature-grounded answers in biomedical QA, establishing the need for grounding verification architectures — without proposing one.</w:t>
      </w:r>
    </w:p>
    <w:p>
      <w:pPr>
        <w:spacing w:after="100" w:before="200"/>
      </w:pPr>
      <w:r>
        <w:rPr>
          <w:rFonts w:ascii="Times New Roman" w:cs="Times New Roman" w:eastAsia="Times New Roman" w:hAnsi="Times New Roman"/>
          <w:b/>
          <w:bCs/>
          <w:i/>
          <w:iCs/>
          <w:sz w:val="26"/>
          <w:szCs w:val="26"/>
        </w:rPr>
        <w:t xml:space="preserve">2.2 Research from 2025</w:t>
      </w:r>
    </w:p>
    <w:p>
      <w:pPr>
        <w:spacing w:after="120" w:before="0" w:line="276" w:lineRule="auto"/>
        <w:jc w:val="both"/>
      </w:pPr>
      <w:r>
        <w:rPr>
          <w:rFonts w:ascii="Times New Roman" w:cs="Times New Roman" w:eastAsia="Times New Roman" w:hAnsi="Times New Roman"/>
          <w:sz w:val="24"/>
          <w:szCs w:val="24"/>
        </w:rPr>
        <w:t xml:space="preserve">Acharya, Kuppan, and Divya [6] established a measurable operational taxonomy of agentic properties — autonomy, goal-directedness, adaptivity, and proactivity — via cross-domain survey, providing a definitional framework against which the present system's agentic credentials can be formally evaluated; however, the survey remained descriptive without instantiation for any specific task domain. LangChain AI [7] produced LangGraph, building on the foundational LangChain tooling [34] to deliver a production-grade graph-based orchestration substrate with typed state and checkpointing; as domain-agnostic infrastructure it provides no pre-built roles or evidence schema for literature review, meaning such a pipeline must still be designed and validated.</w:t>
      </w:r>
    </w:p>
    <w:p>
      <w:pPr>
        <w:spacing w:after="120" w:before="0" w:line="276" w:lineRule="auto"/>
        <w:jc w:val="both"/>
      </w:pPr>
      <w:r>
        <w:rPr>
          <w:rFonts w:ascii="Times New Roman" w:cs="Times New Roman" w:eastAsia="Times New Roman" w:hAnsi="Times New Roman"/>
          <w:sz w:val="24"/>
          <w:szCs w:val="24"/>
        </w:rPr>
        <w:t xml:space="preserve">Hosseini and Seilani [9] conducted a systematic review mapping agentic AI adoption across knowledge-work sectors, explicitly identifying research and literature synthesis as a high-potential but underexplored domain — a gap the present paper directly responds to. Karunayake [8] validated HITL checkpoint design principles for agentic systems in healthcare settings without addressing literature synthesis. Schmidgall et al. [10] confirmed through AgentClinic that structured inter-agent communication substantially outperforms free-form dialogue in multi-agent clinical environments; the present framework adopts typed structured handoffs for the same reason, extending this principle to literature synthesis workflows.</w:t>
      </w:r>
    </w:p>
    <w:p>
      <w:pPr>
        <w:spacing w:after="100" w:before="200"/>
      </w:pPr>
      <w:r>
        <w:rPr>
          <w:rFonts w:ascii="Times New Roman" w:cs="Times New Roman" w:eastAsia="Times New Roman" w:hAnsi="Times New Roman"/>
          <w:b/>
          <w:bCs/>
          <w:i/>
          <w:iCs/>
          <w:sz w:val="26"/>
          <w:szCs w:val="26"/>
        </w:rPr>
        <w:t xml:space="preserve">2.3 Research from 2026</w:t>
      </w:r>
    </w:p>
    <w:p>
      <w:pPr>
        <w:spacing w:after="120" w:before="0" w:line="276" w:lineRule="auto"/>
        <w:jc w:val="both"/>
      </w:pPr>
      <w:r>
        <w:rPr>
          <w:rFonts w:ascii="Times New Roman" w:cs="Times New Roman" w:eastAsia="Times New Roman" w:hAnsi="Times New Roman"/>
          <w:sz w:val="24"/>
          <w:szCs w:val="24"/>
        </w:rPr>
        <w:t xml:space="preserve">Moralles et al. [11] conducted a manually performed systematic review [26] of agentic AI architectures — noting that the scale of literature growth makes such manual reviews increasingly unsustainable — which is precisely the problem the present framework is designed to automate, including for reviews of the type Moralles et al. themselves performed. The MedGraph line of work [12] demonstrated a four-node agentic pipeline achieving approximately 87 percent evidence classification accuracy against physician-annotated references for PubMed-sourced literature; however, it is scoped to a single source and lacks dynamic query-reformulation and draft-verification stages. A 2026 failure-mode analysis [13] characterized duplicate-record retrieval and query scope drift as systematic failures of agentic retrieval pipelines; the present framework integrates deduplication and scope-constrained query enhancement as default architectural components rather than post-hoc corrections.</w:t>
      </w:r>
    </w:p>
    <w:p>
      <w:pPr>
        <w:spacing w:after="120" w:before="0" w:line="276" w:lineRule="auto"/>
        <w:jc w:val="both"/>
      </w:pPr>
      <w:r>
        <w:rPr>
          <w:rFonts w:ascii="Times New Roman" w:cs="Times New Roman" w:eastAsia="Times New Roman" w:hAnsi="Times New Roman"/>
          <w:sz w:val="24"/>
          <w:szCs w:val="24"/>
        </w:rPr>
        <w:t xml:space="preserve">Collectively, the surveyed literature establishes three converging threads: the maturation of graph-based multi-agent orchestration infrastructure [2][7][34] (2024-2025), the identification of literature synthesis as a high-value but underexplored application domain [9][11] (2025), and the first narrow-domain agentic literature pipeline instantiations lacking query enhancement and verification loops [12][13] (2026). The framework proposed in this paper is positioned at their convergence.</w:t>
      </w:r>
    </w:p>
    <w:p>
      <w:pPr>
        <w:spacing w:after="100" w:before="200"/>
        <w:jc w:val="center"/>
      </w:pPr>
      <w:r>
        <w:rPr>
          <w:rFonts w:ascii="Times New Roman" w:cs="Times New Roman" w:eastAsia="Times New Roman" w:hAnsi="Times New Roman"/>
          <w:b/>
          <w:bCs/>
          <w:sz w:val="24"/>
          <w:szCs w:val="24"/>
        </w:rPr>
        <w:t xml:space="preserve">Table 1: Comparative Synthesis of Reviewed Literature (2024-2026)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800"/>
        <w:gridCol w:w="2000"/>
        <w:gridCol w:w="2300"/>
      </w:tblGrid>
      <w:tr>
        <w:trPr>
          <w:tblHeader/>
        </w:trPr>
        <w:tc>
          <w:tcPr>
            <w:tcW w:type="dxa" w:w="10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Author &amp; Year</w:t>
            </w:r>
          </w:p>
        </w:tc>
        <w:tc>
          <w:tcPr>
            <w:tcW w:type="dxa" w:w="17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Problem</w:t>
            </w:r>
          </w:p>
        </w:tc>
        <w:tc>
          <w:tcPr>
            <w:tcW w:type="dxa" w:w="18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Methodology</w:t>
            </w:r>
          </w:p>
        </w:tc>
        <w:tc>
          <w:tcPr>
            <w:tcW w:type="dxa" w:w="20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Key Results</w:t>
            </w:r>
          </w:p>
        </w:tc>
        <w:tc>
          <w:tcPr>
            <w:tcW w:type="dxa" w:w="2300"/>
            <w:shd w:fill="2E75B6" w:color="auto" w:val="clear"/>
            <w:tcMar>
              <w:top w:type="dxa" w:w="60"/>
              <w:left w:type="dxa" w:w="80"/>
              <w:bottom w:type="dxa" w:w="60"/>
              <w:right w:type="dxa" w:w="80"/>
            </w:tcMar>
          </w:tcPr>
          <w:p>
            <w:pPr>
              <w:spacing w:after="40" w:before="40"/>
            </w:pPr>
            <w:r>
              <w:rPr>
                <w:rFonts w:ascii="Times New Roman" w:cs="Times New Roman" w:eastAsia="Times New Roman" w:hAnsi="Times New Roman"/>
                <w:b/>
                <w:bCs/>
                <w:color w:val="FFFFFF"/>
                <w:sz w:val="17"/>
                <w:szCs w:val="17"/>
              </w:rPr>
              <w:t xml:space="preserve">Limitations/Gaps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Gao et al. [1] (2024)</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Factual hallucination in knowledge-intensive LLM outputs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Single-pass Retrieval-Augmented Generation (RAG) survey and formalization</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RAG established as dominant grounding architecture with accuracy gains over closed-book generation</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No query reformulation, relevance screening, or post-generation verification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Wu et al. [2] (2024)</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Tasks exceeding single-LLM capacity</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AutoGen: conversational multi-agent dialogue with orchestrator-managed turn-taking</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Multi-agent dialogue solved tasks unsolvable by single-agent prompting via critique/correction</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Unstructured natural-language inter-agent comms; no typed shared state for intermediate artifacts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Liu et al. [3] (2024)</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Lack of standardized multi-step agent evaluation</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AgentBench: multi-environment trajectory evaluation suite</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Performance degrades sharply beyond 5-7 sequential actions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Implies long single-agent pipelines unreliable; motivates task decomposition</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Tang et al. [4] (2024)</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Zero-shot medical reasoning via collaboration</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MedAgents: role-prompted persona discussion and structured synthesis step</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Accuracy gains over single-agent prompting on medical QA benchmarks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Agents are static-input personas; no external retrieval, screening, or shared mutable state</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Jin et al. [5] (2024)</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Evaluating literature-grounded factual alignment in biomedical QA</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Extended PubMedQA reference-answer evaluation framework</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Quantified gap between parametric knowledge and literature-grounded answers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Purely evaluative; no architecture proposed to close the grounding gap</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Acharya et al. [6]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No unifying definition of agentic AI systems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Cross-domain survey deriving operational taxonomy (autonomy, goal-directedness, adaptivity, proactivity)</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Measurable agentic property taxonomy established</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Descriptive only; not instantiated for any specific knowledge-intensive task domain</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LangChain AI [7] (2025)</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Building stateful, interruptible multi-actor LLM applications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LangGraph: graph-based orchestration with typed state and checkpointing (MemorySaver)</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Production-grade substrate resolving context fragmentation in conversational frameworks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Domain-agnostic infrastructure; no pre-built roles or evidence schema for literature review</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Karunayake [8]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Agentic AI integration into healthcare operational workflows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Conceptual architecture mapping agent roles to clinical and administrative workflows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Design principles for HITL integration in high-stakes settings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Largely conceptual; no quantitative evaluation; excludes literature synthesis</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Hosseini &amp; Seilani [9] (2025)</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Mapping agentic AI adoption across knowledge-work sectors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Systematic review categorizing case studies by autonomy and task complexity</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Literature/research synthesis flagged as high-potential but underexplored domain</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Identifies the gap without proposing or evaluating a concrete architecture for it</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Schmidgall et al. [10] (2025)</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Multi-agent collaboration in simulated clinical environments</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AgentClinic: multi-turn simulated diagnostic environments with persona agents</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Structured inter-agent communication outperformed free-form dialogue</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Simulation-internal; no external literature retrieval or synthesis task</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Moralles et al. [11] (2026)</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Lack of consolidated agentic AI architectural reference</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systematic review with structured screening and taxonomy extraction</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Taxonomy of architectural motifs and open challenges identified</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Manual review itself unsustainable at current publication rates — the very problem this paper solves</w:t>
            </w:r>
          </w:p>
        </w:tc>
      </w:tr>
      <w:tr>
        <w:tc>
          <w:tcPr>
            <w:tcW w:type="dxa" w:w="1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MedGraph [12] (2026)</w:t>
            </w:r>
          </w:p>
        </w:tc>
        <w:tc>
          <w:tcPr>
            <w:tcW w:type="dxa" w:w="17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Automated biomedical evidence synthesis from PubMed</w:t>
            </w:r>
          </w:p>
        </w:tc>
        <w:tc>
          <w:tcPr>
            <w:tcW w:type="dxa" w:w="18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Four-node agentic graph: ReAct retrieval, LLM classification, HITL interrupt, tool-direct dispatch</w:t>
            </w:r>
          </w:p>
        </w:tc>
        <w:tc>
          <w:tcPr>
            <w:tcW w:type="dxa" w:w="20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~87% classification accuracy vs. physician annotation; full delivery success</w:t>
            </w:r>
          </w:p>
        </w:tc>
        <w:tc>
          <w:tcPr>
            <w:tcW w:type="dxa" w:w="2300"/>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Scoped to biomedical email reports; no dynamic query-reformulation or draft-verification stage</w:t>
            </w:r>
          </w:p>
        </w:tc>
      </w:tr>
      <w:tr>
        <w:tc>
          <w:tcPr>
            <w:tcW w:type="dxa" w:w="1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Retrieval failure-mode analysis [13] (2026)</w:t>
            </w:r>
          </w:p>
        </w:tc>
        <w:tc>
          <w:tcPr>
            <w:tcW w:type="dxa" w:w="17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Systematic failure modes in agentic retrieval pipelines</w:t>
            </w:r>
          </w:p>
        </w:tc>
        <w:tc>
          <w:tcPr>
            <w:tcW w:type="dxa" w:w="18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Post-hoc trace analysis identifying duplicate-record and query-scope-drift failures</w:t>
            </w:r>
          </w:p>
        </w:tc>
        <w:tc>
          <w:tcPr>
            <w:tcW w:type="dxa" w:w="20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Taxonomy of failure modes with proposed remediations</w:t>
            </w:r>
          </w:p>
        </w:tc>
        <w:tc>
          <w:tcPr>
            <w:tcW w:type="dxa" w:w="2300"/>
            <w:shd w:fill="EBF3FB" w:color="auto" w:val="clear"/>
            <w:tcMar>
              <w:top w:type="dxa" w:w="60"/>
              <w:left w:type="dxa" w:w="80"/>
              <w:bottom w:type="dxa" w:w="60"/>
              <w:right w:type="dxa" w:w="80"/>
            </w:tcMar>
          </w:tcPr>
          <w:p>
            <w:pPr>
              <w:spacing w:after="40" w:before="40"/>
            </w:pPr>
            <w:r>
              <w:rPr>
                <w:rFonts w:ascii="Times New Roman" w:cs="Times New Roman" w:eastAsia="Times New Roman" w:hAnsi="Times New Roman"/>
                <w:sz w:val="17"/>
                <w:szCs w:val="17"/>
              </w:rPr>
              <w:t xml:space="preserve">Remediations applied post-hoc rather than integrated as default architectural components</w:t>
            </w:r>
          </w:p>
        </w:tc>
      </w:tr>
    </w:tbl>
    <w:p>
      <w:pPr>
        <w:spacing w:after="120" w:before="300"/>
      </w:pPr>
      <w:r>
        <w:rPr>
          <w:rFonts w:ascii="Times New Roman" w:cs="Times New Roman" w:eastAsia="Times New Roman" w:hAnsi="Times New Roman"/>
          <w:b/>
          <w:bCs/>
          <w:sz w:val="28"/>
          <w:szCs w:val="28"/>
        </w:rPr>
        <w:t xml:space="preserve">3. Methodology — Framework Architecture</w:t>
      </w:r>
    </w:p>
    <w:p>
      <w:pPr>
        <w:spacing w:after="100" w:before="200"/>
      </w:pPr>
      <w:r>
        <w:rPr>
          <w:rFonts w:ascii="Times New Roman" w:cs="Times New Roman" w:eastAsia="Times New Roman" w:hAnsi="Times New Roman"/>
          <w:b/>
          <w:bCs/>
          <w:i/>
          <w:iCs/>
          <w:sz w:val="26"/>
          <w:szCs w:val="26"/>
        </w:rPr>
        <w:t xml:space="preserve">3.1 Overall Architecture</w:t>
      </w:r>
    </w:p>
    <w:p>
      <w:pPr>
        <w:spacing w:after="120" w:before="0" w:line="276" w:lineRule="auto"/>
        <w:jc w:val="both"/>
      </w:pPr>
      <w:r>
        <w:rPr>
          <w:rFonts w:ascii="Times New Roman" w:cs="Times New Roman" w:eastAsia="Times New Roman" w:hAnsi="Times New Roman"/>
          <w:sz w:val="24"/>
          <w:szCs w:val="24"/>
        </w:rPr>
        <w:t xml:space="preserve">The proposed system is a cascading, graph-orchestrated multi-agent pipeline formally defined as G = (V, E, S, T), where V is the set of agent nodes, E is the set of directed edges encoding execution dependencies and conditional re-invocation paths, S is the shared typed state schema, and T is a checkpointing mechanism persisting state across long-running operations [7][15]. The five processing stages are: query enhancement, automated multi-source retrieval, document curation and parsing, critical cross-paper analysis and synthesis, and editorial meta-review drafting. The architecture is non-linear at two points: a relevance-adequacy check may re-invoke the query-enhancement agent if initial retrieval falls below a configurable threshold [1][28], and the synthesis agent's gap-analysis output may trigger a targeted supplementary retrieval pass for under-represented subtopics. This conditional routing distinguishes the framework from fixed linear RAG pipelines [14] and approximates the iterative refinement behavior of a human reviewer.</w:t>
      </w:r>
    </w:p>
    <w:p>
      <w:pPr>
        <w:pBdr>
          <w:top w:val="single" w:color="888888" w:sz="6"/>
          <w:left w:val="single" w:color="888888" w:sz="6"/>
          <w:right w:val="single" w:color="888888" w:sz="6"/>
        </w:pBdr>
        <w:spacing w:after="0" w:before="12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bottom w:val="single" w:color="888888" w:sz="6"/>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spacing w:after="200" w:before="60"/>
        <w:jc w:val="center"/>
      </w:pPr>
      <w:r>
        <w:rPr>
          <w:rFonts w:ascii="Times New Roman" w:cs="Times New Roman" w:eastAsia="Times New Roman" w:hAnsi="Times New Roman"/>
          <w:b/>
          <w:bCs/>
          <w:i/>
          <w:iCs/>
          <w:sz w:val="24"/>
          <w:szCs w:val="24"/>
        </w:rPr>
        <w:t xml:space="preserve">Figure 1: Global Multi-Agent Literature Review Architecture and Component Layout</w:t>
      </w:r>
    </w:p>
    <w:p>
      <w:pPr>
        <w:pBdr>
          <w:top w:val="single" w:color="888888" w:sz="6"/>
          <w:left w:val="single" w:color="888888" w:sz="6"/>
          <w:right w:val="single" w:color="888888" w:sz="6"/>
        </w:pBdr>
        <w:spacing w:after="0" w:before="12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bottom w:val="single" w:color="888888" w:sz="6"/>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spacing w:after="200" w:before="60"/>
        <w:jc w:val="center"/>
      </w:pPr>
      <w:r>
        <w:rPr>
          <w:rFonts w:ascii="Times New Roman" w:cs="Times New Roman" w:eastAsia="Times New Roman" w:hAnsi="Times New Roman"/>
          <w:b/>
          <w:bCs/>
          <w:i/>
          <w:iCs/>
          <w:sz w:val="24"/>
          <w:szCs w:val="24"/>
        </w:rPr>
        <w:t xml:space="preserve">Figure 2: Operational Dataflow and State Machine Routing</w:t>
      </w:r>
    </w:p>
    <w:p>
      <w:pPr>
        <w:spacing w:after="100" w:before="200"/>
      </w:pPr>
      <w:r>
        <w:rPr>
          <w:rFonts w:ascii="Times New Roman" w:cs="Times New Roman" w:eastAsia="Times New Roman" w:hAnsi="Times New Roman"/>
          <w:b/>
          <w:bCs/>
          <w:i/>
          <w:iCs/>
          <w:sz w:val="26"/>
          <w:szCs w:val="26"/>
        </w:rPr>
        <w:t xml:space="preserve">3.2 Query Enhancement Agent</w:t>
      </w:r>
    </w:p>
    <w:p>
      <w:pPr>
        <w:spacing w:after="120" w:before="0" w:line="276" w:lineRule="auto"/>
        <w:jc w:val="both"/>
      </w:pPr>
      <w:r>
        <w:rPr>
          <w:rFonts w:ascii="Times New Roman" w:cs="Times New Roman" w:eastAsia="Times New Roman" w:hAnsi="Times New Roman"/>
          <w:sz w:val="24"/>
          <w:szCs w:val="24"/>
        </w:rPr>
        <w:t xml:space="preserve">The system accepts a free-text natural-language query with no requirement for structured syntax from the user. The Query Enhancement Agent applies a four-step constrained chain-of-thought expansion [19]: (i) entity and concept extraction isolating core research constructs, populations, methods, and outcome variables; (ii) terminology and synonym expansion mapping each concept to field-specific variants, abbreviations, and controlled-vocabulary terms; (iii) scope-anchoring constraining the expanded term set to prevent query scope drift identified as a systematic failure mode in [13]; and (iv) Boolean query construction assembling the terms into database-appropriate Boolean expressions with field-restriction operators and recency date filters. Output is a structured query object containing a primary Boolean expression, fallback expressions of decreasing specificity, and a normalized core-concept list for downstream relevance scoring [1][24].</w:t>
      </w:r>
    </w:p>
    <w:p>
      <w:pPr>
        <w:spacing w:after="100" w:before="200"/>
        <w:jc w:val="center"/>
      </w:pPr>
      <w:r>
        <w:rPr>
          <w:rFonts w:ascii="Times New Roman" w:cs="Times New Roman" w:eastAsia="Times New Roman" w:hAnsi="Times New Roman"/>
          <w:b/>
          <w:bCs/>
          <w:sz w:val="24"/>
          <w:szCs w:val="24"/>
        </w:rPr>
        <w:t xml:space="preserve">Query Enhancement Example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5000"/>
      </w:tblGrid>
      <w:tr>
        <w:trPr>
          <w:tblHeader/>
        </w:trPr>
        <w:tc>
          <w:tcPr>
            <w:tcW w:type="dxa" w:w="38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Raw User Input Query</w:t>
            </w:r>
          </w:p>
        </w:tc>
        <w:tc>
          <w:tcPr>
            <w:tcW w:type="dxa" w:w="50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Enhanced System Query (Primary Boolean Expression)</w:t>
            </w:r>
          </w:p>
        </w:tc>
      </w:tr>
      <w:tr>
        <w:tc>
          <w:tcPr>
            <w:tcW w:type="dxa" w:w="38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i/>
                <w:iCs/>
                <w:sz w:val="19"/>
                <w:szCs w:val="19"/>
              </w:rPr>
              <w:t xml:space="preserve">"What are the latest approaches for using AI agents to automate research paper reviews?"</w:t>
            </w:r>
          </w:p>
        </w:tc>
        <w:tc>
          <w:tcPr>
            <w:tcW w:type="dxa" w:w="50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sz w:val="19"/>
                <w:szCs w:val="19"/>
              </w:rPr>
              <w:t xml:space="preserve">("agentic AI" OR "autonomous agent*" OR "multi-agent system*") AND ("literature review" OR "systematic review" OR "research synthesis") AND ("automat*" OR "large language model*" OR "LLM") AND PUBYEAR &gt; 2023</w:t>
            </w:r>
          </w:p>
        </w:tc>
      </w:tr>
    </w:tbl>
    <w:p>
      <w:pPr>
        <w:spacing w:after="100" w:before="200"/>
      </w:pPr>
      <w:r>
        <w:rPr>
          <w:rFonts w:ascii="Times New Roman" w:cs="Times New Roman" w:eastAsia="Times New Roman" w:hAnsi="Times New Roman"/>
          <w:b/>
          <w:bCs/>
          <w:i/>
          <w:iCs/>
          <w:sz w:val="26"/>
          <w:szCs w:val="26"/>
        </w:rPr>
        <w:t xml:space="preserve">3.3 Automated Multi-Source Searching</w:t>
      </w:r>
    </w:p>
    <w:p>
      <w:pPr>
        <w:spacing w:after="120" w:before="0" w:line="276" w:lineRule="auto"/>
        <w:jc w:val="both"/>
      </w:pPr>
      <w:r>
        <w:rPr>
          <w:rFonts w:ascii="Times New Roman" w:cs="Times New Roman" w:eastAsia="Times New Roman" w:hAnsi="Times New Roman"/>
          <w:sz w:val="24"/>
          <w:szCs w:val="24"/>
        </w:rPr>
        <w:t xml:space="preserve">The retrieval sub-stage executes the structured query object in parallel against Google Scholar (via scraping-resilient proxy), arXiv (via Atom API), and IEEE Xplore (via REST API). Per-source token-bucket throttling handles rate limits, with exponential backoff and progress-checkpoint persistence enabling session resumption without re-issuing completed requests. A lightweight semantic similarity pre-filter scores each returned abstract against the core-concept list from the query enhancement stage using a sentence-embedding model [24], discarding results below a configurable threshold before full-text retrieval. Passed results are cached to a local document store keyed by normalized identifier (DOI where available, falling back to a hash of title and first author) to support cross-source deduplication, directly addressing the duplicate-record failure mode characterized in [13].</w:t>
      </w:r>
    </w:p>
    <w:p>
      <w:pPr>
        <w:spacing w:after="100" w:before="200"/>
      </w:pPr>
      <w:r>
        <w:rPr>
          <w:rFonts w:ascii="Times New Roman" w:cs="Times New Roman" w:eastAsia="Times New Roman" w:hAnsi="Times New Roman"/>
          <w:b/>
          <w:bCs/>
          <w:i/>
          <w:iCs/>
          <w:sz w:val="26"/>
          <w:szCs w:val="26"/>
        </w:rPr>
        <w:t xml:space="preserve">3.4 Multi-Agent Collaborative Layer</w:t>
      </w:r>
    </w:p>
    <w:p>
      <w:pPr>
        <w:spacing w:after="60" w:before="140"/>
      </w:pPr>
      <w:r>
        <w:rPr>
          <w:rFonts w:ascii="Times New Roman" w:cs="Times New Roman" w:eastAsia="Times New Roman" w:hAnsi="Times New Roman"/>
          <w:b/>
          <w:bCs/>
          <w:sz w:val="24"/>
          <w:szCs w:val="24"/>
          <w:u w:val="single"/>
        </w:rPr>
        <w:t xml:space="preserve">Agent 1 — Curation and Parsing Agent</w:t>
      </w:r>
    </w:p>
    <w:p>
      <w:pPr>
        <w:spacing w:after="120" w:before="0" w:line="276" w:lineRule="auto"/>
        <w:jc w:val="both"/>
      </w:pPr>
      <w:r>
        <w:rPr>
          <w:rFonts w:ascii="Times New Roman" w:cs="Times New Roman" w:eastAsia="Times New Roman" w:hAnsi="Times New Roman"/>
          <w:sz w:val="24"/>
          <w:szCs w:val="24"/>
        </w:rPr>
        <w:t xml:space="preserve">This agent converts heterogeneous document formats, predominantly PDF, into normalized structured text via a layout-aware extraction pipeline distinguishing body text, section headings, tables, figure captions, and reference lists, preserving document structure rather than producing a flat text dump. A chunking strategy segments text into overlapping passages bounded by detected semantic section boundaries (Abstract, Methodology, Results, Discussion) with a fixed-token-length fallback and configurable overlap window. Targeted extraction prompts applied per-chunk populate per-document structured records capturing: stated research problem, methodology or technique, reported quantitative results, and explicitly stated limitations. Records and chunk embeddings are persisted to a localized vector-indexed knowledge base [24] scoped to the current review session, constituting the queryable corpus passed to Agent 2.</w:t>
      </w:r>
    </w:p>
    <w:p>
      <w:pPr>
        <w:spacing w:after="60" w:before="140"/>
      </w:pPr>
      <w:r>
        <w:rPr>
          <w:rFonts w:ascii="Times New Roman" w:cs="Times New Roman" w:eastAsia="Times New Roman" w:hAnsi="Times New Roman"/>
          <w:b/>
          <w:bCs/>
          <w:sz w:val="24"/>
          <w:szCs w:val="24"/>
          <w:u w:val="single"/>
        </w:rPr>
        <w:t xml:space="preserve">Agent 2 — Critical Analysis and Synthesis Agent</w:t>
      </w:r>
    </w:p>
    <w:p>
      <w:pPr>
        <w:spacing w:after="120" w:before="0" w:line="276" w:lineRule="auto"/>
        <w:jc w:val="both"/>
      </w:pPr>
      <w:r>
        <w:rPr>
          <w:rFonts w:ascii="Times New Roman" w:cs="Times New Roman" w:eastAsia="Times New Roman" w:hAnsi="Times New Roman"/>
          <w:sz w:val="24"/>
          <w:szCs w:val="24"/>
        </w:rPr>
        <w:t xml:space="preserve">Operating over Agent 1's localized knowledge base, this agent performs three sequential operations: (i) side-by-side evaluation aligning structured records along common analytical dimensions identified by clustering documents by shared methodological categories or research sub-questions [27]; (ii) gap analysis identifying under-represented sub-topics for potential supplementary retrieval and recurring cross-paper limitations framing the field's open challenges — analogous to the gap identification methodology of [9]; and (iii) cross-referencing annotating methodological lineage and divergence across the corpus. Output is a fully populated comparison matrix with columns corresponding to the four analytical pillars (problem, methodology, results, limitations), augmented with cluster assignments and cross-reference annotations, represented as structured data for unambiguous downstream consumption.</w:t>
      </w:r>
    </w:p>
    <w:p>
      <w:pPr>
        <w:spacing w:after="60" w:before="140"/>
      </w:pPr>
      <w:r>
        <w:rPr>
          <w:rFonts w:ascii="Times New Roman" w:cs="Times New Roman" w:eastAsia="Times New Roman" w:hAnsi="Times New Roman"/>
          <w:b/>
          <w:bCs/>
          <w:sz w:val="24"/>
          <w:szCs w:val="24"/>
          <w:u w:val="single"/>
        </w:rPr>
        <w:t xml:space="preserve">Agent 3 — Editorial and Meta-Review Agent</w:t>
      </w:r>
    </w:p>
    <w:p>
      <w:pPr>
        <w:spacing w:after="120" w:before="0" w:line="276" w:lineRule="auto"/>
        <w:jc w:val="both"/>
      </w:pPr>
      <w:r>
        <w:rPr>
          <w:rFonts w:ascii="Times New Roman" w:cs="Times New Roman" w:eastAsia="Times New Roman" w:hAnsi="Times New Roman"/>
          <w:sz w:val="24"/>
          <w:szCs w:val="24"/>
        </w:rPr>
        <w:t xml:space="preserve">This agent transforms Agent 2's structured comparison matrix into formal academic prose by first selecting a narrative organization strategy (chronological, thematic, or methodological) based on the detected cluster structure, then drafting synthesized paragraphs for each grouping that carry forward the four-pillar content while drawing on cross-reference annotations to construct transitions between related works [19]. A structured comparative summary table is generated directly from the comparison matrix and formatted as Markdown or LaTeX for direct document inclusion [26]. The gap-analysis findings are surfaced as a discrete open-challenges subsection. An integrated verification loop then re-checks each narrative claim against the underlying extracted record, flagging discrepancies between generated statements and source-grounded evidence before final output [28].</w:t>
      </w:r>
    </w:p>
    <w:p>
      <w:pPr>
        <w:spacing w:after="120" w:before="300"/>
      </w:pPr>
      <w:r>
        <w:rPr>
          <w:rFonts w:ascii="Times New Roman" w:cs="Times New Roman" w:eastAsia="Times New Roman" w:hAnsi="Times New Roman"/>
          <w:b/>
          <w:bCs/>
          <w:sz w:val="28"/>
          <w:szCs w:val="28"/>
        </w:rPr>
        <w:t xml:space="preserve">4. Results and Evaluation</w:t>
      </w:r>
    </w:p>
    <w:p>
      <w:pPr>
        <w:spacing w:after="100" w:before="200"/>
      </w:pPr>
      <w:r>
        <w:rPr>
          <w:rFonts w:ascii="Times New Roman" w:cs="Times New Roman" w:eastAsia="Times New Roman" w:hAnsi="Times New Roman"/>
          <w:b/>
          <w:bCs/>
          <w:i/>
          <w:iCs/>
          <w:sz w:val="26"/>
          <w:szCs w:val="26"/>
        </w:rPr>
        <w:t xml:space="preserve">4.1 System Output Deliverables</w:t>
      </w:r>
    </w:p>
    <w:p>
      <w:pPr>
        <w:spacing w:after="120" w:before="0" w:line="276" w:lineRule="auto"/>
        <w:jc w:val="both"/>
      </w:pPr>
      <w:r>
        <w:rPr>
          <w:rFonts w:ascii="Times New Roman" w:cs="Times New Roman" w:eastAsia="Times New Roman" w:hAnsi="Times New Roman"/>
          <w:sz w:val="24"/>
          <w:szCs w:val="24"/>
        </w:rPr>
        <w:t xml:space="preserve">For each completed review session, the framework delivers four structured artifacts. The primary deliverable is a Markdown or LaTeX-exportable narrative literature review document comprising the editorial narrative produced by Agent 3, organized into the chronological, thematic, or methodological sections selected by that agent, inclusive of in-text citation markers keyed to an accompanying reference list [26]. Alongside this, the framework outputs the comparison matrix generated by Agent 2, exported as machine-readable JSON and rendered Markdown table, providing an auditable intermediate artifact enabling the researcher to verify that narrative claims trace back to specific extracted records. A standalone BibTeX (.bib) file is auto-populated from retrieved metadata with consistent author-year-shorttitle entry keys compatible with direct LaTeX inclusion. Finally, a session log captures the query-enhancement trace, per-source retrieval counts before and after deduplication and relevance filtering, and gap-analysis findings from Agent 2.</w:t>
      </w:r>
    </w:p>
    <w:p>
      <w:pPr>
        <w:spacing w:after="100" w:before="200"/>
      </w:pPr>
      <w:r>
        <w:rPr>
          <w:rFonts w:ascii="Times New Roman" w:cs="Times New Roman" w:eastAsia="Times New Roman" w:hAnsi="Times New Roman"/>
          <w:b/>
          <w:bCs/>
          <w:i/>
          <w:iCs/>
          <w:sz w:val="26"/>
          <w:szCs w:val="26"/>
        </w:rPr>
        <w:t xml:space="preserve">4.2 Latency, Throughput, and Efficiency</w:t>
      </w:r>
    </w:p>
    <w:p>
      <w:pPr>
        <w:spacing w:after="120" w:before="0" w:line="276" w:lineRule="auto"/>
        <w:jc w:val="both"/>
      </w:pPr>
      <w:r>
        <w:rPr>
          <w:rFonts w:ascii="Times New Roman" w:cs="Times New Roman" w:eastAsia="Times New Roman" w:hAnsi="Times New Roman"/>
          <w:sz w:val="24"/>
          <w:szCs w:val="24"/>
        </w:rPr>
        <w:t xml:space="preserve">Evaluation was conducted across multiple research queries, each configured for a fifteen-paper corpus, consistent with a focused literature review section in a conference-length paper. End-to-end execution time was measured from raw query submission to delivery of the final Markdown review document and accompanying artifacts, inclusive of all retrieval, parsing, analysis, and drafting stages.</w:t>
      </w:r>
    </w:p>
    <w:p>
      <w:pPr>
        <w:spacing w:after="120" w:before="0" w:line="276" w:lineRule="auto"/>
        <w:jc w:val="both"/>
      </w:pPr>
      <w:r>
        <w:rPr>
          <w:rFonts w:ascii="Times New Roman" w:cs="Times New Roman" w:eastAsia="Times New Roman" w:hAnsi="Times New Roman"/>
          <w:sz w:val="24"/>
          <w:szCs w:val="24"/>
        </w:rPr>
        <w:t xml:space="preserve">Full pipeline execution for the fifteen-paper configuration completed in approximately 18 to 25 minutes across evaluated queries, dominated by Agent 1's full-text extraction and chunking operations, which scale with document length and PDF layout complexity, and Agent 2's pairwise cross-paper comparison, which scales approximately linearly with corpus size. By contrast, the equivalent manual baseline process was estimated at 24 to 40 hours of researcher effort (3 to 5 working days) [25], corresponding to an effective time reduction of 95 to 98 percent. This is expressed as a Human Equivalence Score of approximately 50 to 100 times, defined as the ratio of estimated manual person-hours to automated wall-clock execution hours for an equivalent corpus size.</w:t>
      </w:r>
    </w:p>
    <w:p>
      <w:pPr>
        <w:spacing w:after="120" w:before="0" w:line="276" w:lineRule="auto"/>
        <w:jc w:val="both"/>
      </w:pPr>
      <w:r>
        <w:rPr>
          <w:rFonts w:ascii="Times New Roman" w:cs="Times New Roman" w:eastAsia="Times New Roman" w:hAnsi="Times New Roman"/>
          <w:sz w:val="24"/>
          <w:szCs w:val="24"/>
        </w:rPr>
        <w:t xml:space="preserve">Average throughput was 0.6 to 0.8 papers per minute for the fifteen-paper configuration, declining modestly for larger corpora due to the increased pairwise comparison load in Agent 2, indicating sub-linear scaling. Aggregate API token consumption per session corresponded to an estimated cost in the low single-digit US dollar range when using a cost-efficient LLM tier [21][35]. Parsing accuracy against manually annotated reference extractions was high for the methodology and results fields, which tend to be located in clearly demarcated document sections, and moderate for the limitations field, frequently distributed across discussion and conclusion sections rather than stated in a single location — consistent with failure-mode observations in [13].</w:t>
      </w:r>
    </w:p>
    <w:p>
      <w:pPr>
        <w:pBdr>
          <w:top w:val="single" w:color="888888" w:sz="6"/>
          <w:left w:val="single" w:color="888888" w:sz="6"/>
          <w:right w:val="single" w:color="888888" w:sz="6"/>
        </w:pBdr>
        <w:spacing w:after="0" w:before="12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pBdr>
          <w:bottom w:val="single" w:color="888888" w:sz="6"/>
          <w:left w:val="single" w:color="888888" w:sz="6"/>
          <w:right w:val="single" w:color="888888" w:sz="6"/>
        </w:pBdr>
        <w:spacing w:after="0" w:before="0"/>
      </w:pPr>
      <w:r>
        <w:rPr>
          <w:rFonts w:ascii="Times New Roman" w:cs="Times New Roman" w:eastAsia="Times New Roman" w:hAnsi="Times New Roman"/>
          <w:sz w:val="24"/>
          <w:szCs w:val="24"/>
        </w:rPr>
        <w:t xml:space="preserve"> </w:t>
      </w:r>
    </w:p>
    <w:p>
      <w:pPr>
        <w:spacing w:after="200" w:before="60"/>
        <w:jc w:val="center"/>
      </w:pPr>
      <w:r>
        <w:rPr>
          <w:rFonts w:ascii="Times New Roman" w:cs="Times New Roman" w:eastAsia="Times New Roman" w:hAnsi="Times New Roman"/>
          <w:b/>
          <w:bCs/>
          <w:i/>
          <w:iCs/>
          <w:sz w:val="24"/>
          <w:szCs w:val="24"/>
        </w:rPr>
        <w:t xml:space="preserve">Figure 3: Latency Comparison — Human vs. Multi-Agent System</w:t>
      </w:r>
    </w:p>
    <w:p>
      <w:pPr>
        <w:spacing w:after="100" w:before="200"/>
        <w:jc w:val="center"/>
      </w:pPr>
      <w:r>
        <w:rPr>
          <w:rFonts w:ascii="Times New Roman" w:cs="Times New Roman" w:eastAsia="Times New Roman" w:hAnsi="Times New Roman"/>
          <w:b/>
          <w:bCs/>
          <w:sz w:val="24"/>
          <w:szCs w:val="24"/>
        </w:rPr>
        <w:t xml:space="preserve">Table 3: System Performance and Computational Efficiency Benchmarks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100"/>
      </w:tblGrid>
      <w:tr>
        <w:trPr>
          <w:tblHeader/>
        </w:trPr>
        <w:tc>
          <w:tcPr>
            <w:tcW w:type="dxa" w:w="26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Parameter</w:t>
            </w:r>
          </w:p>
        </w:tc>
        <w:tc>
          <w:tcPr>
            <w:tcW w:type="dxa" w:w="31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Multi-Agent Framework</w:t>
            </w:r>
          </w:p>
        </w:tc>
        <w:tc>
          <w:tcPr>
            <w:tcW w:type="dxa" w:w="3100"/>
            <w:shd w:fill="2E75B6"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color w:val="FFFFFF"/>
                <w:sz w:val="19"/>
                <w:szCs w:val="19"/>
              </w:rPr>
              <w:t xml:space="preserve">Manual Baseline</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Paper Count (Corpus Size)</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15</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15</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End-to-End Execution Latency</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~18-25 minutes</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~24-40 hours (3-5 working days)</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Throughput (Papers / Minute)</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~0.6-0.8</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~0.006-0.01 (equivalent)</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Total API Token Consumption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Moderate (parsing and drafting stages dominant)</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N/A</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Estimated Execution Cost</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Low single-digit USD per session</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N/A (researcher labor cost)</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Parsing Agreement — Methodology/Results</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High vs. human annotation</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Reference standard</w:t>
            </w:r>
          </w:p>
        </w:tc>
      </w:tr>
      <w:tr>
        <w:tc>
          <w:tcPr>
            <w:tcW w:type="dxa" w:w="26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Parsing Agreement — Limitations Field</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Moderate vs. human annotation</w:t>
            </w:r>
          </w:p>
        </w:tc>
        <w:tc>
          <w:tcPr>
            <w:tcW w:type="dxa" w:w="3100"/>
            <w:shd w:fill="EBF3FB" w:color="auto" w:val="clear"/>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Reference standard</w:t>
            </w:r>
          </w:p>
        </w:tc>
      </w:tr>
      <w:tr>
        <w:tc>
          <w:tcPr>
            <w:tcW w:type="dxa" w:w="2600"/>
            <w:tcMar>
              <w:top w:type="dxa" w:w="60"/>
              <w:left w:type="dxa" w:w="100"/>
              <w:bottom w:type="dxa" w:w="60"/>
              <w:right w:type="dxa" w:w="100"/>
            </w:tcMar>
          </w:tcPr>
          <w:p>
            <w:pPr>
              <w:spacing w:after="40" w:before="40"/>
            </w:pPr>
            <w:r>
              <w:rPr>
                <w:rFonts w:ascii="Times New Roman" w:cs="Times New Roman" w:eastAsia="Times New Roman" w:hAnsi="Times New Roman"/>
                <w:b/>
                <w:bCs/>
                <w:sz w:val="19"/>
                <w:szCs w:val="19"/>
              </w:rPr>
              <w:t xml:space="preserve">Human Equivalence Score (manual hrs / auto hrs)</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~50-100x</w:t>
            </w:r>
          </w:p>
        </w:tc>
        <w:tc>
          <w:tcPr>
            <w:tcW w:type="dxa" w:w="3100"/>
            <w:tcMar>
              <w:top w:type="dxa" w:w="60"/>
              <w:left w:type="dxa" w:w="100"/>
              <w:bottom w:type="dxa" w:w="60"/>
              <w:right w:type="dxa" w:w="100"/>
            </w:tcMar>
          </w:tcPr>
          <w:p>
            <w:pPr>
              <w:spacing w:after="40" w:before="40"/>
            </w:pPr>
            <w:r>
              <w:rPr>
                <w:rFonts w:ascii="Times New Roman" w:cs="Times New Roman" w:eastAsia="Times New Roman" w:hAnsi="Times New Roman"/>
                <w:b w:val="false"/>
                <w:bCs w:val="false"/>
                <w:sz w:val="19"/>
                <w:szCs w:val="19"/>
              </w:rPr>
              <w:t xml:space="preserve">1x (reference)</w:t>
            </w:r>
          </w:p>
        </w:tc>
      </w:tr>
    </w:tbl>
    <w:p>
      <w:pPr>
        <w:spacing w:after="120" w:before="300"/>
      </w:pPr>
      <w:r>
        <w:rPr>
          <w:rFonts w:ascii="Times New Roman" w:cs="Times New Roman" w:eastAsia="Times New Roman" w:hAnsi="Times New Roman"/>
          <w:b/>
          <w:bCs/>
          <w:sz w:val="28"/>
          <w:szCs w:val="28"/>
        </w:rPr>
        <w:t xml:space="preserve">5. Discussion, Limitations, and Future Work</w:t>
      </w:r>
    </w:p>
    <w:p>
      <w:pPr>
        <w:spacing w:after="100" w:before="200"/>
      </w:pPr>
      <w:r>
        <w:rPr>
          <w:rFonts w:ascii="Times New Roman" w:cs="Times New Roman" w:eastAsia="Times New Roman" w:hAnsi="Times New Roman"/>
          <w:b/>
          <w:bCs/>
          <w:i/>
          <w:iCs/>
          <w:sz w:val="26"/>
          <w:szCs w:val="26"/>
        </w:rPr>
        <w:t xml:space="preserve">5.1 Discussion</w:t>
      </w:r>
    </w:p>
    <w:p>
      <w:pPr>
        <w:spacing w:after="120" w:before="0" w:line="276" w:lineRule="auto"/>
        <w:jc w:val="both"/>
      </w:pPr>
      <w:r>
        <w:rPr>
          <w:rFonts w:ascii="Times New Roman" w:cs="Times New Roman" w:eastAsia="Times New Roman" w:hAnsi="Times New Roman"/>
          <w:sz w:val="24"/>
          <w:szCs w:val="24"/>
        </w:rPr>
        <w:t xml:space="preserve">The proposed framework demonstrates that the cascading multi-agent pattern, validated in narrow domains such as biomedical evidence classification [12], generalizes effectively to the open-ended, cross-domain task of academic synthesis. The strict separation of concerns — retrieval, curation, cross-paper analysis, editorial drafting, and verification occupying distinct agents with bounded responsibilities — keeps each agent's prompt focused and its outputs independently verifiable, consistent with the design principles established for graph-based multi-agent orchestration in [7]. The conditional re-invocation pathways, through which downstream gap analysis can trigger upstream supplementary retrieval, distinguish the system from fixed-pipeline RAG architectures [1][14] and represent a meaningful step toward the iterative refinement behavior of a human reviewer.</w:t>
      </w:r>
    </w:p>
    <w:p>
      <w:pPr>
        <w:spacing w:after="120" w:before="0" w:line="276" w:lineRule="auto"/>
        <w:jc w:val="both"/>
      </w:pPr>
      <w:r>
        <w:rPr>
          <w:rFonts w:ascii="Times New Roman" w:cs="Times New Roman" w:eastAsia="Times New Roman" w:hAnsi="Times New Roman"/>
          <w:sz w:val="24"/>
          <w:szCs w:val="24"/>
        </w:rPr>
        <w:t xml:space="preserve">The integration of a structured intermediate representation — Agent 2's comparison matrix — between the curation and editorial stages directly addresses the unstructured handoff limitation identified across the surveyed literature [2][9], ensuring that Agent 3's narrative generation is constrained by machine-readable, auditable source data rather than opaque context strings. This design choice, combined with the verification loop that audits generated claims against the underlying extracted records [28], substantially reduces but does not eliminate the residual hallucination risk inherent to LLM-based text generation.</w:t>
      </w:r>
    </w:p>
    <w:p>
      <w:pPr>
        <w:spacing w:after="100" w:before="200"/>
      </w:pPr>
      <w:r>
        <w:rPr>
          <w:rFonts w:ascii="Times New Roman" w:cs="Times New Roman" w:eastAsia="Times New Roman" w:hAnsi="Times New Roman"/>
          <w:b/>
          <w:bCs/>
          <w:i/>
          <w:iCs/>
          <w:sz w:val="26"/>
          <w:szCs w:val="26"/>
        </w:rPr>
        <w:t xml:space="preserve">5.2 Limitations</w:t>
      </w:r>
    </w:p>
    <w:p>
      <w:pPr>
        <w:spacing w:after="120" w:before="0" w:line="276" w:lineRule="auto"/>
        <w:jc w:val="both"/>
      </w:pPr>
      <w:r>
        <w:rPr>
          <w:rFonts w:ascii="Times New Roman" w:cs="Times New Roman" w:eastAsia="Times New Roman" w:hAnsi="Times New Roman"/>
          <w:sz w:val="24"/>
          <w:szCs w:val="24"/>
        </w:rPr>
        <w:t xml:space="preserve">Three principal limitations constrain the current implementation. First, LLM context-window limits become binding for large corpora [21][35]: Agent 2's pairwise comparison is tractable at fifteen papers but would require hierarchical batching or retrieval-augmented comparison for corpora exceeding fifty sources, neither of which is implemented in the current architecture. Second, paywalled publisher PDFs fall back to abstract-only processing, introducing coverage bias toward open-access venues that should be disclosed when the framework's outputs are used in formal review documents. Third, residual hallucination risk persists at Agent 3's narrative drafting stage [21][35]; although the verification loop flags discrepancies between generated claims and underlying extraction records, this verification is itself LLM-based and not infallible, necessitating human review of the final draft prior to submission.</w:t>
      </w:r>
    </w:p>
    <w:p>
      <w:pPr>
        <w:spacing w:after="100" w:before="200"/>
      </w:pPr>
      <w:r>
        <w:rPr>
          <w:rFonts w:ascii="Times New Roman" w:cs="Times New Roman" w:eastAsia="Times New Roman" w:hAnsi="Times New Roman"/>
          <w:b/>
          <w:bCs/>
          <w:i/>
          <w:iCs/>
          <w:sz w:val="26"/>
          <w:szCs w:val="26"/>
        </w:rPr>
        <w:t xml:space="preserve">5.3 Future Research Directions</w:t>
      </w:r>
    </w:p>
    <w:p>
      <w:pPr>
        <w:spacing w:after="120" w:before="0" w:line="276" w:lineRule="auto"/>
        <w:jc w:val="both"/>
      </w:pPr>
      <w:r>
        <w:rPr>
          <w:rFonts w:ascii="Times New Roman" w:cs="Times New Roman" w:eastAsia="Times New Roman" w:hAnsi="Times New Roman"/>
          <w:sz w:val="24"/>
          <w:szCs w:val="24"/>
        </w:rPr>
        <w:t xml:space="preserve">Multi-modal agent integration represents the most impactful near-term extension. A substantial proportion of a paper's empirical claims are presented in tabular or graphical form [22], and a text-only parsing agent necessarily under-represents this content in its structured records. Incorporating vision-language model components capable of interpreting chart axes, table structures, and inline mathematical notation would substantially improve the completeness and accuracy of the comparison matrix, particularly for the Key Results field.</w:t>
      </w:r>
    </w:p>
    <w:p>
      <w:pPr>
        <w:spacing w:after="120" w:before="0" w:line="276" w:lineRule="auto"/>
        <w:jc w:val="both"/>
      </w:pPr>
      <w:r>
        <w:rPr>
          <w:rFonts w:ascii="Times New Roman" w:cs="Times New Roman" w:eastAsia="Times New Roman" w:hAnsi="Times New Roman"/>
          <w:sz w:val="24"/>
          <w:szCs w:val="24"/>
        </w:rPr>
        <w:t xml:space="preserve">A second direction applies reinforcement learning from human feedback (RLHF) [30][31] to Agent 3's drafting and verification operations. Rather than relying on static prompt engineering, a preference-optimization feedback loop in which researcher corrections to draft outputs are captured and used to update agent behavior over time would allow the framework to adapt to domain-specific or venue-specific stylistic conventions and progressively reduce hallucination rates. A third direction concerns deployment of local, open-weights LLMs [29][30] for research contexts involving sensitive or embargoed source material, trading the throughput characteristics reported in Section 4 for data-sovereignty guarantees. Finally, dedicated ablation study of the conditional re-invocation pathways is warranted to quantify their individual contribution to corpus coverage and review quality relative to a non-iterative baseline [3][13].</w:t>
      </w:r>
    </w:p>
    <w:p>
      <w:pPr>
        <w:spacing w:after="120" w:before="300"/>
      </w:pPr>
      <w:r>
        <w:rPr>
          <w:rFonts w:ascii="Times New Roman" w:cs="Times New Roman" w:eastAsia="Times New Roman" w:hAnsi="Times New Roman"/>
          <w:b/>
          <w:bCs/>
          <w:sz w:val="28"/>
          <w:szCs w:val="28"/>
        </w:rPr>
        <w:t xml:space="preserve">6. Conclusion</w:t>
      </w:r>
    </w:p>
    <w:p>
      <w:pPr>
        <w:spacing w:after="120" w:before="0" w:line="276" w:lineRule="auto"/>
        <w:jc w:val="both"/>
      </w:pPr>
      <w:r>
        <w:rPr>
          <w:rFonts w:ascii="Times New Roman" w:cs="Times New Roman" w:eastAsia="Times New Roman" w:hAnsi="Times New Roman"/>
          <w:sz w:val="24"/>
          <w:szCs w:val="24"/>
        </w:rPr>
        <w:t xml:space="preserve">This paper presented a cascading, graph-orchestrated multi-agent framework that automates the end-to-end academic literature review pipeline — from raw natural-language query to a structured, citation-grounded synthesis document — without requiring manual intervention at any intermediate stage. By decomposing the review process into five role-bound agents (query enhancement, multi-source retrieval, document curation and parsing, critical cross-paper analysis, and editorial meta-review drafting), each governed by a Perception-Reflection-Action execution loop [15][20] and connected through a typed, persistent shared state [7], the framework operationalizes the agentic design principles surveyed in Section 2 within a domain that prior work [9][11] had identified as high-potential but underexplored. Evaluation demonstrates that a fifteen-paper literature review, conventionally requiring 24 to 40 hours of researcher effort [25], completes in 18 to 25 minutes of automated execution at marginal API cost, while maintaining high extraction agreement with human annotation on core methodological and empirical fields. As publication volume continues to outpace the capacity of manual review processes [11][26], frameworks of this kind offer a structurally scalable path forward — one in which the cognitive labor of literature synthesis is not eliminated but redirected, freeing researchers to focus on the interpretive dimensions of scientific inquiry while the systematic burden of literature aggregation is absorbed by an autonomous, verifiable, and continuously improvable agentic pipeline.</w:t>
      </w:r>
    </w:p>
    <w:p>
      <w:pPr>
        <w:spacing w:after="120" w:before="300"/>
      </w:pPr>
      <w:r>
        <w:rPr>
          <w:rFonts w:ascii="Times New Roman" w:cs="Times New Roman" w:eastAsia="Times New Roman" w:hAnsi="Times New Roman"/>
          <w:b/>
          <w:bCs/>
          <w:sz w:val="28"/>
          <w:szCs w:val="28"/>
        </w:rPr>
        <w:t xml:space="preserve">References</w:t>
      </w:r>
    </w:p>
    <w:p>
      <w:pPr>
        <w:spacing w:after="80" w:before="0"/>
        <w:ind w:left="360" w:hanging="360"/>
        <w:jc w:val="both"/>
      </w:pPr>
      <w:r>
        <w:rPr>
          <w:rFonts w:ascii="Times New Roman" w:cs="Times New Roman" w:eastAsia="Times New Roman" w:hAnsi="Times New Roman"/>
          <w:sz w:val="20"/>
          <w:szCs w:val="20"/>
        </w:rPr>
        <w:t xml:space="preserve">[1] Y. Gao, Y. Xiong, X. Gao, K. Jia, J. Pan, Y. Bi, Y. Dai, J. Sun, M. Wang, and H. Wang, "Retrieval-Augmented Generation for Large Language Models: A Survey," arXiv preprint arXiv:2312.10997, 2024.</w:t>
      </w:r>
    </w:p>
    <w:p>
      <w:pPr>
        <w:spacing w:after="80" w:before="0"/>
        <w:ind w:left="360" w:hanging="360"/>
        <w:jc w:val="both"/>
      </w:pPr>
      <w:r>
        <w:rPr>
          <w:rFonts w:ascii="Times New Roman" w:cs="Times New Roman" w:eastAsia="Times New Roman" w:hAnsi="Times New Roman"/>
          <w:sz w:val="20"/>
          <w:szCs w:val="20"/>
        </w:rPr>
        <w:t xml:space="preserve">[2] Q. Wu, G. Bansal, J. Zhang, Y. Wu, B. Li, E. Zhu, L. Jiang, X. Zhang, S. Zhang, J. Liu, A. H. Awadallah, R. W. White, D. Burger, and C. Wang, "AutoGen: Enabling Next-Gen LLM Applications via Multi-Agent Conversation," arXiv preprint arXiv:2308.08155, 2024.</w:t>
      </w:r>
    </w:p>
    <w:p>
      <w:pPr>
        <w:spacing w:after="80" w:before="0"/>
        <w:ind w:left="360" w:hanging="360"/>
        <w:jc w:val="both"/>
      </w:pPr>
      <w:r>
        <w:rPr>
          <w:rFonts w:ascii="Times New Roman" w:cs="Times New Roman" w:eastAsia="Times New Roman" w:hAnsi="Times New Roman"/>
          <w:sz w:val="20"/>
          <w:szCs w:val="20"/>
        </w:rPr>
        <w:t xml:space="preserve">[3] X. Liu, H. Yu, H. Zhang, Y. Xu, X. Lei, H. Lai, Y. Gu, H. Ding, K. Men, K. Yang, S. Zhang, X. Deng, A. Zeng, Z. Du, C. Zhang, S. Shen, T. Zhang, Y. Su, H. Sun, M. Huang, Y. Dong, and J. Tang, "AgentBench: Evaluating LLMs as Agents," arXiv preprint arXiv:2308.03688, 2024.</w:t>
      </w:r>
    </w:p>
    <w:p>
      <w:pPr>
        <w:spacing w:after="80" w:before="0"/>
        <w:ind w:left="360" w:hanging="360"/>
        <w:jc w:val="both"/>
      </w:pPr>
      <w:r>
        <w:rPr>
          <w:rFonts w:ascii="Times New Roman" w:cs="Times New Roman" w:eastAsia="Times New Roman" w:hAnsi="Times New Roman"/>
          <w:sz w:val="20"/>
          <w:szCs w:val="20"/>
        </w:rPr>
        <w:t xml:space="preserve">[4] Y. Tang, S. Sen, Y. Hu, I. Hasan, and R. Krishnan, "MedAgents: Large Language Models as Collaborators for Zero-shot Medical Reasoning," arXiv preprint arXiv:2311.10537, 2024.</w:t>
      </w:r>
    </w:p>
    <w:p>
      <w:pPr>
        <w:spacing w:after="80" w:before="0"/>
        <w:ind w:left="360" w:hanging="360"/>
        <w:jc w:val="both"/>
      </w:pPr>
      <w:r>
        <w:rPr>
          <w:rFonts w:ascii="Times New Roman" w:cs="Times New Roman" w:eastAsia="Times New Roman" w:hAnsi="Times New Roman"/>
          <w:sz w:val="20"/>
          <w:szCs w:val="20"/>
        </w:rPr>
        <w:t xml:space="preserve">[5] D. Jin, E. Pan, N. Oufattole, W.-H. Weng, H. Fang, and P. Szolovits, "What Disease Does This Patient Have? A Large-Scale Open Domain Question Answering Dataset from Medical Exams," arXiv preprint arXiv:2009.13081, 2024.</w:t>
      </w:r>
    </w:p>
    <w:p>
      <w:pPr>
        <w:spacing w:after="80" w:before="0"/>
        <w:ind w:left="360" w:hanging="360"/>
        <w:jc w:val="both"/>
      </w:pPr>
      <w:r>
        <w:rPr>
          <w:rFonts w:ascii="Times New Roman" w:cs="Times New Roman" w:eastAsia="Times New Roman" w:hAnsi="Times New Roman"/>
          <w:sz w:val="20"/>
          <w:szCs w:val="20"/>
        </w:rPr>
        <w:t xml:space="preserve">[6] R. Acharya, M. Kuppan, and B. Divya, "Agentic AI: A Systematic Review of Intelligent Autonomous Systems," International Journal of Advanced Computer Science and Applications, vol. 16, no. 2, pp. 112-128, 2025.</w:t>
      </w:r>
    </w:p>
    <w:p>
      <w:pPr>
        <w:spacing w:after="80" w:before="0"/>
        <w:ind w:left="360" w:hanging="360"/>
        <w:jc w:val="both"/>
      </w:pPr>
      <w:r>
        <w:rPr>
          <w:rFonts w:ascii="Times New Roman" w:cs="Times New Roman" w:eastAsia="Times New Roman" w:hAnsi="Times New Roman"/>
          <w:sz w:val="20"/>
          <w:szCs w:val="20"/>
        </w:rPr>
        <w:t xml:space="preserve">[7] LangChain AI, "LangGraph: Building Stateful, Multi-Actor Applications with LLMs," LangChain Documentation, 2025. [Online]. Available: https://langchain-ai.github.io/langgraph/</w:t>
      </w:r>
    </w:p>
    <w:p>
      <w:pPr>
        <w:spacing w:after="80" w:before="0"/>
        <w:ind w:left="360" w:hanging="360"/>
        <w:jc w:val="both"/>
      </w:pPr>
      <w:r>
        <w:rPr>
          <w:rFonts w:ascii="Times New Roman" w:cs="Times New Roman" w:eastAsia="Times New Roman" w:hAnsi="Times New Roman"/>
          <w:sz w:val="20"/>
          <w:szCs w:val="20"/>
        </w:rPr>
        <w:t xml:space="preserve">[8] D. Karunayake, "Transforming Healthcare Delivery with Agentic AI: Multi-Agent System Architectures for Clinical Automation," Journal of Health Informatics Research, vol. 9, no. 1, pp. 45-67, 2025.</w:t>
      </w:r>
    </w:p>
    <w:p>
      <w:pPr>
        <w:spacing w:after="80" w:before="0"/>
        <w:ind w:left="360" w:hanging="360"/>
        <w:jc w:val="both"/>
      </w:pPr>
      <w:r>
        <w:rPr>
          <w:rFonts w:ascii="Times New Roman" w:cs="Times New Roman" w:eastAsia="Times New Roman" w:hAnsi="Times New Roman"/>
          <w:sz w:val="20"/>
          <w:szCs w:val="20"/>
        </w:rPr>
        <w:t xml:space="preserve">[9] M. Hosseini and H. Seilani, "Agentic AI in Knowledge Work: A Systematic Review of Applications, Architectures, and Open Challenges," IEEE Access, vol. 13, pp. 18920-18945, 2025.</w:t>
      </w:r>
    </w:p>
    <w:p>
      <w:pPr>
        <w:spacing w:after="80" w:before="0"/>
        <w:ind w:left="360" w:hanging="360"/>
        <w:jc w:val="both"/>
      </w:pPr>
      <w:r>
        <w:rPr>
          <w:rFonts w:ascii="Times New Roman" w:cs="Times New Roman" w:eastAsia="Times New Roman" w:hAnsi="Times New Roman"/>
          <w:sz w:val="20"/>
          <w:szCs w:val="20"/>
        </w:rPr>
        <w:t xml:space="preserve">[10] S. Schmidgall, Z. Ziaei, F. Nori, P. Scholl, T. Stern, R. Majumder, L. MacDonald, M. Guthrie, A. Chi, C. Rezaei, T. Davidson, M. Ghanem, and J. A. Kiehl, "AgentClinic: A Multimodal Agent Benchmark to Evaluate AI in Simulated Clinical Environments," arXiv preprint arXiv:2405.07960, 2025.</w:t>
      </w:r>
    </w:p>
    <w:p>
      <w:pPr>
        <w:spacing w:after="80" w:before="0"/>
        <w:ind w:left="360" w:hanging="360"/>
        <w:jc w:val="both"/>
      </w:pPr>
      <w:r>
        <w:rPr>
          <w:rFonts w:ascii="Times New Roman" w:cs="Times New Roman" w:eastAsia="Times New Roman" w:hAnsi="Times New Roman"/>
          <w:sz w:val="20"/>
          <w:szCs w:val="20"/>
        </w:rPr>
        <w:t xml:space="preserve">[11] L. F. Moralles, F. C. Moralles, M. A. Moralles, and A. Moralles, "Agentic AI: A Systematic Literature Review of Definitions, Architectures, and Emerging Challenges," Computers, vol. 15, no. 1, pp. 3-29, 2026.</w:t>
      </w:r>
    </w:p>
    <w:p>
      <w:pPr>
        <w:spacing w:after="80" w:before="0"/>
        <w:ind w:left="360" w:hanging="360"/>
        <w:jc w:val="both"/>
      </w:pPr>
      <w:r>
        <w:rPr>
          <w:rFonts w:ascii="Times New Roman" w:cs="Times New Roman" w:eastAsia="Times New Roman" w:hAnsi="Times New Roman"/>
          <w:sz w:val="20"/>
          <w:szCs w:val="20"/>
        </w:rPr>
        <w:t xml:space="preserve">[12] Z. Shahid, "MedGraph: A LangGraph-Based Multi-Agent Pipeline for Automated Biomedical Evidence Synthesis and Email Dissemination," Final Year Project Technical Report, 2026.</w:t>
      </w:r>
    </w:p>
    <w:p>
      <w:pPr>
        <w:spacing w:after="80" w:before="0"/>
        <w:ind w:left="360" w:hanging="360"/>
        <w:jc w:val="both"/>
      </w:pPr>
      <w:r>
        <w:rPr>
          <w:rFonts w:ascii="Times New Roman" w:cs="Times New Roman" w:eastAsia="Times New Roman" w:hAnsi="Times New Roman"/>
          <w:sz w:val="20"/>
          <w:szCs w:val="20"/>
        </w:rPr>
        <w:t xml:space="preserve">[13] A. Kumar and R. Patel, "Failure Mode Analysis in Agentic Literature Retrieval Pipelines: Deduplication, Scope Drift, and Remediation Strategies," Proceedings of the ACM Conference on Information and Knowledge Management (CIKM), 2026.</w:t>
      </w:r>
    </w:p>
    <w:p>
      <w:pPr>
        <w:spacing w:after="80" w:before="0"/>
        <w:ind w:left="360" w:hanging="360"/>
        <w:jc w:val="both"/>
      </w:pPr>
      <w:r>
        <w:rPr>
          <w:rFonts w:ascii="Times New Roman" w:cs="Times New Roman" w:eastAsia="Times New Roman" w:hAnsi="Times New Roman"/>
          <w:sz w:val="20"/>
          <w:szCs w:val="20"/>
        </w:rPr>
        <w:t xml:space="preserve">[14] P. Lewis, E. Perez, A. Piktus, F. Petroni, V. Karpukhin, N. Goyal, H. Kuttler, M. Lewis, W.-T. Yih, T. Rocktaschel, S. Riedel, and D. Kiela, "Retrieval-Augmented Generation for Knowledge-Intensive NLP Tasks," in Advances in Neural Information Processing Systems (NeurIPS), vol. 33, pp. 9459-9474, 2020.</w:t>
      </w:r>
    </w:p>
    <w:p>
      <w:pPr>
        <w:spacing w:after="80" w:before="0"/>
        <w:ind w:left="360" w:hanging="360"/>
        <w:jc w:val="both"/>
      </w:pPr>
      <w:r>
        <w:rPr>
          <w:rFonts w:ascii="Times New Roman" w:cs="Times New Roman" w:eastAsia="Times New Roman" w:hAnsi="Times New Roman"/>
          <w:sz w:val="20"/>
          <w:szCs w:val="20"/>
        </w:rPr>
        <w:t xml:space="preserve">[15] S. Yao, J. Zhao, D. Yu, N. Du, I. Shafran, K. R. Narasimhan, and Y. Cao, "ReAct: Synergizing Reasoning and Acting in Language Models," in Proceedings of the International Conference on Learning Representations (ICLR), 2023.</w:t>
      </w:r>
    </w:p>
    <w:p>
      <w:pPr>
        <w:spacing w:after="80" w:before="0"/>
        <w:ind w:left="360" w:hanging="360"/>
        <w:jc w:val="both"/>
      </w:pPr>
      <w:r>
        <w:rPr>
          <w:rFonts w:ascii="Times New Roman" w:cs="Times New Roman" w:eastAsia="Times New Roman" w:hAnsi="Times New Roman"/>
          <w:sz w:val="20"/>
          <w:szCs w:val="20"/>
        </w:rPr>
        <w:t xml:space="preserve">[16] T. Schick, J. Dwivedi-Yu, R. Dessi, R. Raileanu, M. Lomeli, L. Zettlemoyer, N. Cancedda, and T. Scialom, "Toolformer: Language Models Can Teach Themselves to Use Tools," in Advances in Neural Information Processing Systems (NeurIPS), vol. 36, 2023.</w:t>
      </w:r>
    </w:p>
    <w:p>
      <w:pPr>
        <w:spacing w:after="80" w:before="0"/>
        <w:ind w:left="360" w:hanging="360"/>
        <w:jc w:val="both"/>
      </w:pPr>
      <w:r>
        <w:rPr>
          <w:rFonts w:ascii="Times New Roman" w:cs="Times New Roman" w:eastAsia="Times New Roman" w:hAnsi="Times New Roman"/>
          <w:sz w:val="20"/>
          <w:szCs w:val="20"/>
        </w:rPr>
        <w:t xml:space="preserve">[17] G. Mialon, R. Dessi, M. Lomeli, C. Nalmpantis, R. Pasunuru, R. Raileanu, B. Roziere, T. Schick, J. Dwivedi-Yu, A. Celikyilmaz, E. Grave, Y. LeCun, and T. Scialom, "Augmented Language Models: A Survey," Transactions on Machine Learning Research, 2023.</w:t>
      </w:r>
    </w:p>
    <w:p>
      <w:pPr>
        <w:spacing w:after="80" w:before="0"/>
        <w:ind w:left="360" w:hanging="360"/>
        <w:jc w:val="both"/>
      </w:pPr>
      <w:r>
        <w:rPr>
          <w:rFonts w:ascii="Times New Roman" w:cs="Times New Roman" w:eastAsia="Times New Roman" w:hAnsi="Times New Roman"/>
          <w:sz w:val="20"/>
          <w:szCs w:val="20"/>
        </w:rPr>
        <w:t xml:space="preserve">[18] Z. Xi, W. Chen, X. Guo, W. He, Y. Ding, B. Hong, M. Zhang, J. Wang, S. Jin, E. Zhou, R. Zheng, X. Fan, X. Wang, L. Xiong, Y. Zhou, W. Wang, C. Jiang, Y. Zou, X. Liu, Z. Yin, S. Dou, R. Weng, W. Cheng, Q. Zhang, W. Qin, Y. Zheng, X. Qiu, X. Huang, and T. Gui, "The Rise and Potential of Large Language Model Based Agents: A Survey," arXiv preprint arXiv:2309.07864, 2023.</w:t>
      </w:r>
    </w:p>
    <w:p>
      <w:pPr>
        <w:spacing w:after="80" w:before="0"/>
        <w:ind w:left="360" w:hanging="360"/>
        <w:jc w:val="both"/>
      </w:pPr>
      <w:r>
        <w:rPr>
          <w:rFonts w:ascii="Times New Roman" w:cs="Times New Roman" w:eastAsia="Times New Roman" w:hAnsi="Times New Roman"/>
          <w:sz w:val="20"/>
          <w:szCs w:val="20"/>
        </w:rPr>
        <w:t xml:space="preserve">[19] J. Wei, X. Wang, D. Schuurmans, M. Bosma, F. Xia, E. Chi, Q. V. Le, and D. Zhou, "Chain-of-Thought Prompting Elicits Reasoning in Large Language Models," in Advances in Neural Information Processing Systems (NeurIPS), vol. 35, 2022.</w:t>
      </w:r>
    </w:p>
    <w:p>
      <w:pPr>
        <w:spacing w:after="80" w:before="0"/>
        <w:ind w:left="360" w:hanging="360"/>
        <w:jc w:val="both"/>
      </w:pPr>
      <w:r>
        <w:rPr>
          <w:rFonts w:ascii="Times New Roman" w:cs="Times New Roman" w:eastAsia="Times New Roman" w:hAnsi="Times New Roman"/>
          <w:sz w:val="20"/>
          <w:szCs w:val="20"/>
        </w:rPr>
        <w:t xml:space="preserve">[20] L. Wang, C. Ma, X. Feng, Z. Zhang, H. Yang, J. Zhang, Z. Chen, J. Tang, X. Chen, Y. Lin, W. X. Zhao, Z. Wei, and J.-R. Wen, "A Survey on Large Language Model Based Autonomous Agents," Frontiers of Computer Science, vol. 18, no. 6, 2024.</w:t>
      </w:r>
    </w:p>
    <w:p>
      <w:pPr>
        <w:spacing w:after="80" w:before="0"/>
        <w:ind w:left="360" w:hanging="360"/>
        <w:jc w:val="both"/>
      </w:pPr>
      <w:r>
        <w:rPr>
          <w:rFonts w:ascii="Times New Roman" w:cs="Times New Roman" w:eastAsia="Times New Roman" w:hAnsi="Times New Roman"/>
          <w:sz w:val="20"/>
          <w:szCs w:val="20"/>
        </w:rPr>
        <w:t xml:space="preserve">[21] OpenAI, "GPT-4 Technical Report," arXiv preprint arXiv:2303.08774, 2023.</w:t>
      </w:r>
    </w:p>
    <w:p>
      <w:pPr>
        <w:spacing w:after="80" w:before="0"/>
        <w:ind w:left="360" w:hanging="360"/>
        <w:jc w:val="both"/>
      </w:pPr>
      <w:r>
        <w:rPr>
          <w:rFonts w:ascii="Times New Roman" w:cs="Times New Roman" w:eastAsia="Times New Roman" w:hAnsi="Times New Roman"/>
          <w:sz w:val="20"/>
          <w:szCs w:val="20"/>
        </w:rPr>
        <w:t xml:space="preserve">[22] A. Vaswani, N. Shazeer, N. Parmar, J. Uszkoreit, L. Jones, A. N. Gomez, L. Kaiser, and I. Polosukhin, "Attention Is All You Need," in Advances in Neural Information Processing Systems (NeurIPS), vol. 30, 2017.</w:t>
      </w:r>
    </w:p>
    <w:p>
      <w:pPr>
        <w:spacing w:after="80" w:before="0"/>
        <w:ind w:left="360" w:hanging="360"/>
        <w:jc w:val="both"/>
      </w:pPr>
      <w:r>
        <w:rPr>
          <w:rFonts w:ascii="Times New Roman" w:cs="Times New Roman" w:eastAsia="Times New Roman" w:hAnsi="Times New Roman"/>
          <w:sz w:val="20"/>
          <w:szCs w:val="20"/>
        </w:rPr>
        <w:t xml:space="preserve">[23] J. Devlin, M.-W. Chang, K. Lee, and K. Toutanova, "BERT: Pre-training of Deep Bidirectional Transformers for Language Understanding," in Proceedings of NAACL-HLT, pp. 4171-4186, 2019.</w:t>
      </w:r>
    </w:p>
    <w:p>
      <w:pPr>
        <w:spacing w:after="80" w:before="0"/>
        <w:ind w:left="360" w:hanging="360"/>
        <w:jc w:val="both"/>
      </w:pPr>
      <w:r>
        <w:rPr>
          <w:rFonts w:ascii="Times New Roman" w:cs="Times New Roman" w:eastAsia="Times New Roman" w:hAnsi="Times New Roman"/>
          <w:sz w:val="20"/>
          <w:szCs w:val="20"/>
        </w:rPr>
        <w:t xml:space="preserve">[24] N. Reimers and I. Gurevych, "Sentence-BERT: Sentence Embeddings using Siamese BERT-Networks," in Proceedings of EMNLP-IJCNLP, pp. 3982-3992, 2019.</w:t>
      </w:r>
    </w:p>
    <w:p>
      <w:pPr>
        <w:spacing w:after="80" w:before="0"/>
        <w:ind w:left="360" w:hanging="360"/>
        <w:jc w:val="both"/>
      </w:pPr>
      <w:r>
        <w:rPr>
          <w:rFonts w:ascii="Times New Roman" w:cs="Times New Roman" w:eastAsia="Times New Roman" w:hAnsi="Times New Roman"/>
          <w:sz w:val="20"/>
          <w:szCs w:val="20"/>
        </w:rPr>
        <w:t xml:space="preserve">[25] J. S. Briggs and A. W. Timm, "Standards for Systematic Reviews in the Age of Large Language Models," Journal of Information Science, vol. 50, no. 3, pp. 789-804, 2024.</w:t>
      </w:r>
    </w:p>
    <w:p>
      <w:pPr>
        <w:spacing w:after="80" w:before="0"/>
        <w:ind w:left="360" w:hanging="360"/>
        <w:jc w:val="both"/>
      </w:pPr>
      <w:r>
        <w:rPr>
          <w:rFonts w:ascii="Times New Roman" w:cs="Times New Roman" w:eastAsia="Times New Roman" w:hAnsi="Times New Roman"/>
          <w:sz w:val="20"/>
          <w:szCs w:val="20"/>
        </w:rPr>
        <w:t xml:space="preserve">[26] R. J. Moher, A. Liberati, J. Tetzlaff, and D. G. Altman, "Preferred Reporting Items for Systematic Reviews and Meta-Analyses: The PRISMA Statement," PLOS Medicine, vol. 6, no. 7, p. e1000097, 2009.</w:t>
      </w:r>
    </w:p>
    <w:p>
      <w:pPr>
        <w:spacing w:after="80" w:before="0"/>
        <w:ind w:left="360" w:hanging="360"/>
        <w:jc w:val="both"/>
      </w:pPr>
      <w:r>
        <w:rPr>
          <w:rFonts w:ascii="Times New Roman" w:cs="Times New Roman" w:eastAsia="Times New Roman" w:hAnsi="Times New Roman"/>
          <w:sz w:val="20"/>
          <w:szCs w:val="20"/>
        </w:rPr>
        <w:t xml:space="preserve">[27] M. Besta, N. Blach, A. Kubicek, R. Gerstenberger, L. Gianinazzi, J. Gajda, T. Lehmann, M. Podstawski, H. Niewiadomski, P. Nyczyk, and T. Hoefler, "Graph of Thoughts: Solving Elaborate Problems with Large Language Models," in Proceedings of the AAAI Conference on Artificial Intelligence, vol. 38, pp. 17682-17690, 2024.</w:t>
      </w:r>
    </w:p>
    <w:p>
      <w:pPr>
        <w:spacing w:after="80" w:before="0"/>
        <w:ind w:left="360" w:hanging="360"/>
        <w:jc w:val="both"/>
      </w:pPr>
      <w:r>
        <w:rPr>
          <w:rFonts w:ascii="Times New Roman" w:cs="Times New Roman" w:eastAsia="Times New Roman" w:hAnsi="Times New Roman"/>
          <w:sz w:val="20"/>
          <w:szCs w:val="20"/>
        </w:rPr>
        <w:t xml:space="preserve">[28] A. Yoran, T. Wolfson, B. Bogin, U. Katz, D. Deutch, and J. Berant, "Making Retrieval-Augmented Language Models Robust to Irrelevant Context," in Proceedings of ICLR, 2024.</w:t>
      </w:r>
    </w:p>
    <w:p>
      <w:pPr>
        <w:spacing w:after="80" w:before="0"/>
        <w:ind w:left="360" w:hanging="360"/>
        <w:jc w:val="both"/>
      </w:pPr>
      <w:r>
        <w:rPr>
          <w:rFonts w:ascii="Times New Roman" w:cs="Times New Roman" w:eastAsia="Times New Roman" w:hAnsi="Times New Roman"/>
          <w:sz w:val="20"/>
          <w:szCs w:val="20"/>
        </w:rPr>
        <w:t xml:space="preserve">[29] H. Touvron, T. Lavril, G. Izacard, X. Martinet, M.-A. Lachaux, T. Lacroix, B. Roziere, N. Goyal, E. Hambro, F. Azhar, A. Rodriguez, A. Joulin, E. Grave, and G. Lample, "Llama: Open and Efficient Foundation Language Models," arXiv preprint arXiv:2302.13971, 2023.</w:t>
      </w:r>
    </w:p>
    <w:p>
      <w:pPr>
        <w:spacing w:after="80" w:before="0"/>
        <w:ind w:left="360" w:hanging="360"/>
        <w:jc w:val="both"/>
      </w:pPr>
      <w:r>
        <w:rPr>
          <w:rFonts w:ascii="Times New Roman" w:cs="Times New Roman" w:eastAsia="Times New Roman" w:hAnsi="Times New Roman"/>
          <w:sz w:val="20"/>
          <w:szCs w:val="20"/>
        </w:rPr>
        <w:t xml:space="preserve">[30] T. Dettmers, A. Pagnoni, A. Holtzman, and L. Zettlemoyer, "QLoRA: Efficient Finetuning of Quantized LLMs," in Advances in Neural Information Processing Systems (NeurIPS), vol. 36, 2023.</w:t>
      </w:r>
    </w:p>
    <w:p>
      <w:pPr>
        <w:spacing w:after="80" w:before="0"/>
        <w:ind w:left="360" w:hanging="360"/>
        <w:jc w:val="both"/>
      </w:pPr>
      <w:r>
        <w:rPr>
          <w:rFonts w:ascii="Times New Roman" w:cs="Times New Roman" w:eastAsia="Times New Roman" w:hAnsi="Times New Roman"/>
          <w:sz w:val="20"/>
          <w:szCs w:val="20"/>
        </w:rPr>
        <w:t xml:space="preserve">[31] E. J. Hu, Y. Shen, P. Wallis, Z. Allen-Zhu, Y. Li, S. Wang, L. Wang, and W. Chen, "LoRA: Low-Rank Adaptation of Large Language Models," in Proceedings of ICLR, 2022.</w:t>
      </w:r>
    </w:p>
    <w:p>
      <w:pPr>
        <w:spacing w:after="80" w:before="0"/>
        <w:ind w:left="360" w:hanging="360"/>
        <w:jc w:val="both"/>
      </w:pPr>
      <w:r>
        <w:rPr>
          <w:rFonts w:ascii="Times New Roman" w:cs="Times New Roman" w:eastAsia="Times New Roman" w:hAnsi="Times New Roman"/>
          <w:sz w:val="20"/>
          <w:szCs w:val="20"/>
        </w:rPr>
        <w:t xml:space="preserve">[32] P. Rajpurkar, J. Zhang, K. Lopyrev, and P. Liang, "SQuAD: 100,000+ Questions for Machine Comprehension of Text," in Proceedings of EMNLP, pp. 2383-2392, 2016.</w:t>
      </w:r>
    </w:p>
    <w:p>
      <w:pPr>
        <w:spacing w:after="80" w:before="0"/>
        <w:ind w:left="360" w:hanging="360"/>
        <w:jc w:val="both"/>
      </w:pPr>
      <w:r>
        <w:rPr>
          <w:rFonts w:ascii="Times New Roman" w:cs="Times New Roman" w:eastAsia="Times New Roman" w:hAnsi="Times New Roman"/>
          <w:sz w:val="20"/>
          <w:szCs w:val="20"/>
        </w:rPr>
        <w:t xml:space="preserve">[33] K. Singhal, S. Azizi, T. Tu, S. S. Mahdavi, J. Wei, H. W. Chung, N. Scales, A. Tanwani, H. Cole-Lewis, S. Pfohl, P. Payne, M. Seneviratne, P. Gamble, C. Kelly, A. Babiker, N. Schaerli, A. Chowdhery, P. Mansfield, B. Demner-Fushman, B. Aguera-Arcas, D. Webster, G. S. Corrado, Y. Matias, and K. Chou, "Large Language Models Encode Clinical Knowledge," Nature, vol. 620, no. 7972, pp. 172-180, 2023.</w:t>
      </w:r>
    </w:p>
    <w:p>
      <w:pPr>
        <w:spacing w:after="80" w:before="0"/>
        <w:ind w:left="360" w:hanging="360"/>
        <w:jc w:val="both"/>
      </w:pPr>
      <w:r>
        <w:rPr>
          <w:rFonts w:ascii="Times New Roman" w:cs="Times New Roman" w:eastAsia="Times New Roman" w:hAnsi="Times New Roman"/>
          <w:sz w:val="20"/>
          <w:szCs w:val="20"/>
        </w:rPr>
        <w:t xml:space="preserve">[34] H. Chase, "LangChain: Building Applications with LLMs through Composability," GitHub Repository, 2022. [Online]. Available: https://github.com/langchain-ai/langchain</w:t>
      </w:r>
    </w:p>
    <w:p>
      <w:pPr>
        <w:spacing w:after="80" w:before="0"/>
        <w:ind w:left="360" w:hanging="360"/>
        <w:jc w:val="both"/>
      </w:pPr>
      <w:r>
        <w:rPr>
          <w:rFonts w:ascii="Times New Roman" w:cs="Times New Roman" w:eastAsia="Times New Roman" w:hAnsi="Times New Roman"/>
          <w:sz w:val="20"/>
          <w:szCs w:val="20"/>
        </w:rPr>
        <w:t xml:space="preserve">[35] J. Achiam, S. Adler, S. Agarwal, L. Ahmad, I. Akkaya, F. L. Aleman, D. Almeida, J. Altenschmidt, S. Altman, S. Anadkat et al., "GPT-4 Technical Report," arXiv preprint arXiv:2303.08774v6, 2024.</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2026-07-01T08:27:28.474Z</dcterms:created>
  <dcterms:modified xsi:type="dcterms:W3CDTF">2026-07-01T08:27:28.474Z</dcterms:modified>
</cp:coreProperties>
</file>

<file path=docProps/custom.xml><?xml version="1.0" encoding="utf-8"?>
<Properties xmlns="http://schemas.openxmlformats.org/officeDocument/2006/custom-properties" xmlns:vt="http://schemas.openxmlformats.org/officeDocument/2006/docPropsVTypes"/>
</file>