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720"/>
        <w:jc w:val="center"/>
      </w:pPr>
      <w:r>
        <w:rPr>
          <w:rFonts w:ascii="Times New Roman" w:cs="Times New Roman" w:eastAsia="Times New Roman" w:hAnsi="Times New Roman"/>
          <w:b/>
          <w:bCs/>
          <w:sz w:val="32"/>
          <w:szCs w:val="32"/>
        </w:rPr>
        <w:t xml:space="preserve">Automating the Scientific Synthesis Loop: A Cascading Multi-Agent Framework for End-to-End Literature Review Generation</w:t>
      </w:r>
    </w:p>
    <w:p>
      <w:pPr>
        <w:spacing w:after="160" w:before="480"/>
        <w:jc w:val="center"/>
      </w:pPr>
      <w:r>
        <w:rPr>
          <w:rFonts w:ascii="Times New Roman" w:cs="Times New Roman" w:eastAsia="Times New Roman" w:hAnsi="Times New Roman"/>
          <w:b/>
          <w:bCs/>
          <w:sz w:val="26"/>
          <w:szCs w:val="26"/>
        </w:rPr>
        <w:t xml:space="preserve">Abstract</w:t>
      </w:r>
    </w:p>
    <w:p>
      <w:pPr>
        <w:spacing w:after="160" w:before="0" w:line="480" w:lineRule="auto"/>
        <w:jc w:val="both"/>
      </w:pPr>
      <w:r>
        <w:rPr>
          <w:rFonts w:ascii="Times New Roman" w:cs="Times New Roman" w:eastAsia="Times New Roman" w:hAnsi="Times New Roman"/>
          <w:sz w:val="24"/>
          <w:szCs w:val="24"/>
        </w:rPr>
        <w:t xml:space="preserve">The exponential growth of scholarly publication output has rendered manual literature review an increasingly unsustainable component of the research lifecycle, consuming disproportionate cognitive and temporal resources relative to its contribution to novel inquiry. While Large Language Models (LLMs) have demonstrated competence in isolated subtasks such as summarization and question answering, static single-pass prompting architectures remain structurally incapable of replicating the iterative, evaluative, and self-correcting nature of human scholarly review. This paper presents a cascading multi-agent framework that fully automates the literature review pipeline, transforming a raw natural-language research query into a structured, citation-grounded synthesis document without manual intervention. The architecture decomposes the review process into a sequence of specialized, role-bound agents, each governed by a Perception-Reflection-Action execution loop and orchestrated through dynamic state-routing across a shared context graph. Distinct agents are responsible for query decomposition and search-term enhancement, multi-source retrieval and deduplication, relevance screening against semantic embeddings, evidence-strength classification, and structured draft synthesis, with an integrated verification loop that audits factual grounding before final output. Empirical evaluation across multiple research domains demonstrates substantial reductions in end-to-end synthesis latency relative to manual workflows, alongside high precision-recall performance in source screening and citation fidelity. The proposed framework establishes a reproducible, extensible blueprint for agentic automation of knowledge-intensive academic workflows.</w:t>
      </w:r>
    </w:p>
    <w:p>
      <w:pPr>
        <w:spacing w:after="480" w:before="80"/>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i/>
          <w:iCs/>
          <w:sz w:val="24"/>
          <w:szCs w:val="24"/>
        </w:rPr>
        <w:t xml:space="preserve">Agentic AI, Multi-Agent Systems, Literature Review Automation, Autonomous Workflows, Context-Window Orchestration, Retrieval-Augmented Generation</w:t>
      </w:r>
    </w:p>
    <w:p>
      <w:pPr>
        <w:spacing w:after="160" w:before="400"/>
      </w:pPr>
      <w:r>
        <w:rPr>
          <w:rFonts w:ascii="Times New Roman" w:cs="Times New Roman" w:eastAsia="Times New Roman" w:hAnsi="Times New Roman"/>
          <w:b/>
          <w:bCs/>
          <w:sz w:val="28"/>
          <w:szCs w:val="28"/>
        </w:rPr>
        <w:t xml:space="preserve">1. Introduction</w:t>
      </w:r>
    </w:p>
    <w:p>
      <w:pPr>
        <w:spacing w:after="160" w:before="0" w:line="480" w:lineRule="auto"/>
        <w:jc w:val="both"/>
      </w:pPr>
      <w:r>
        <w:rPr>
          <w:rFonts w:ascii="Times New Roman" w:cs="Times New Roman" w:eastAsia="Times New Roman" w:hAnsi="Times New Roman"/>
          <w:sz w:val="24"/>
          <w:szCs w:val="24"/>
        </w:rPr>
        <w:t xml:space="preserve">The emergence of Agentic AI marks a structural departure from the request-response paradigm that has dominated applications of Large Language Models since their inception. Where conventional LLM deployment treats the model as a stateless function mapping a single input prompt to a single output completion, agentic systems instantiate the model as a persistent reasoning entity embedded within an iterative control loop. This loop, commonly formalized as a Perception-Reflection-Action cycle, enables the system to observe its environment or task state (perception), evaluate the adequacy of its current trajectory against a goal specification (reflection), and select or execute an action that modifies the environment or advances the task (action), with the resulting state feeding back into the next perception phase. This recursive structure transforms the LLM from a passive text generator into an active controller capable of multi-step planning, tool invocation, error detection, and self-correction across extended task horizons that would otherwise exceed the effective reasoning capacity of a single inference pass.</w:t>
      </w:r>
    </w:p>
    <w:p>
      <w:pPr>
        <w:spacing w:after="160" w:before="0" w:line="480" w:lineRule="auto"/>
        <w:jc w:val="both"/>
      </w:pPr>
      <w:r>
        <w:rPr>
          <w:rFonts w:ascii="Times New Roman" w:cs="Times New Roman" w:eastAsia="Times New Roman" w:hAnsi="Times New Roman"/>
          <w:sz w:val="24"/>
          <w:szCs w:val="24"/>
        </w:rPr>
        <w:t xml:space="preserve">The trajectory by which this paradigm gained momentum is closely tied to the maturation of three enabling capabilities between 2023 and 2026: structured tool-calling interfaces that allow models to invoke external functions with typed arguments, extended context windows that permit the retention of intermediate reasoning artifacts across long-running sessions, and orchestration frameworks that formalize multi-step execution as directed graphs with conditional routing and persistent state. Early agentic implementations were largely confined to single-agent tool-use loops, exemplified by the ReAct pattern of interleaved reasoning traces and tool actions. By 2025, this evolved into multi-agent topologies in which discrete agents, each scoped to a narrow functional responsibility and governed by its own perception-reflection-action loop, communicate through a shared, typed state object rather than through unstructured natural-language handoffs. This shift from monolithic prompting to compositional, role-specialized agent graphs constitutes the defining architectural trend of agentic AI as it stands in 2026, and forms the foundational design principle underlying the framework presented in this paper.</w:t>
      </w:r>
    </w:p>
    <w:p>
      <w:pPr>
        <w:spacing w:after="160" w:before="0" w:line="480" w:lineRule="auto"/>
        <w:jc w:val="both"/>
      </w:pPr>
      <w:r>
        <w:rPr>
          <w:rFonts w:ascii="Times New Roman" w:cs="Times New Roman" w:eastAsia="Times New Roman" w:hAnsi="Times New Roman"/>
          <w:sz w:val="24"/>
          <w:szCs w:val="24"/>
        </w:rPr>
        <w:t xml:space="preserve">Multi-agent collaboration of this kind has moved beyond academic prototyping into operational deployment across domains characterized by long-horizon, multi-stage workflows with heterogeneous subtasks. In software engineering, agent ensembles now perform end-to-end pipelines spanning requirements decomposition, code generation, automated test construction, and iterative debugging, with dedicated critic agents reviewing the outputs of generator agents prior to integration. In enterprise data operations, multi-agent systems orchestrate extraction, transformation, and validation stages across heterogeneous document formats, with dynamic query-enhancement agents reformulating retrieval queries based on the adequacy of intermediate results. In biomedical and scientific informatics, comparable architectures have been used to retrieve domain literature, classify evidence quality against established hierarchies, and route outputs through human-in-the-loop checkpoints before delivery. Across these deployments, the common architectural signature is a cascading division of labor in which each agent's output constitutes a typed, validated input to the next, with context-window orchestration ensuring that only the relevant subset of accumulated state is passed forward at each stage, thereby mitigating the context degradation that plagues single-agent approaches to long workflows.</w:t>
      </w:r>
    </w:p>
    <w:p>
      <w:pPr>
        <w:spacing w:after="160" w:before="0" w:line="480" w:lineRule="auto"/>
        <w:jc w:val="both"/>
      </w:pPr>
      <w:r>
        <w:rPr>
          <w:rFonts w:ascii="Times New Roman" w:cs="Times New Roman" w:eastAsia="Times New Roman" w:hAnsi="Times New Roman"/>
          <w:sz w:val="24"/>
          <w:szCs w:val="24"/>
        </w:rPr>
        <w:t xml:space="preserve">Academic literature review, by contrast, remains predominantly a manual or semi-manual process despite being structurally well-suited to this cascading agentic decomposition. The conventional workflow requires a researcher to formulate search queries across one or more bibliographic databases, iteratively refine those queries based on the relevance of returned results, manually screen titles and abstracts against inclusion and exclusion criteria, retrieve and read full texts of shortlisted papers, extract and tabulate methodological and empirical details, assess the evidentiary strength and potential bias of each source, and finally synthesize these heterogeneous findings into a coherent narrative that situates the reviewed body of work relative to the research question at hand. Each of these stages is cognitively distinct, yet in practice they are performed sequentially by a single individual, with no formal mechanism for revisiting earlier-stage decisions in light of information surfaced at later stages other than manual re-iteration.</w:t>
      </w:r>
    </w:p>
    <w:p>
      <w:pPr>
        <w:spacing w:after="160" w:before="0" w:line="480" w:lineRule="auto"/>
        <w:jc w:val="both"/>
      </w:pPr>
      <w:r>
        <w:rPr>
          <w:rFonts w:ascii="Times New Roman" w:cs="Times New Roman" w:eastAsia="Times New Roman" w:hAnsi="Times New Roman"/>
          <w:sz w:val="24"/>
          <w:szCs w:val="24"/>
        </w:rPr>
        <w:t xml:space="preserve">The systemic inefficiencies of this process compound across three dimensions. First, the temporal cost is substantial: empirical studies of research workflows consistently report that literature screening and synthesis consume a disproportionate share of total project time relative to their contribution to original inquiry, often spanning days to weeks for a moderately scoped review. Second, the parsing bottleneck is structural rather than incidental, as full-text scientific documents contain dense, heterogeneous information including methodology descriptions, statistical results, and limitations that must be manually extracted and normalized into a comparable format across sources before synthesis can proceed, a task that scales linearly with corpus size and is highly susceptible to inconsistent extraction criteria across sessions. Third, the absence of a systematic verification mechanism means that errors in initial screening propagate undetected into the final synthesis, with no automated checkpoint analogous to the critic-reviewer loops now standard in agentic software engineering pipelines. Collectively, these constraints render the manual literature review process not merely slow but structurally non-scalable to the current rate of scholarly publication.</w:t>
      </w:r>
    </w:p>
    <w:p>
      <w:pPr>
        <w:spacing w:after="160" w:before="0" w:line="480" w:lineRule="auto"/>
        <w:jc w:val="both"/>
      </w:pPr>
      <w:r>
        <w:rPr>
          <w:rFonts w:ascii="Times New Roman" w:cs="Times New Roman" w:eastAsia="Times New Roman" w:hAnsi="Times New Roman"/>
          <w:sz w:val="24"/>
          <w:szCs w:val="24"/>
        </w:rPr>
        <w:t xml:space="preserve">This paper addresses these constraints through a cascading, multi-agent framework that automates the literature review pipeline end-to-end, accepting a raw natural-language research query as input and producing a structured, citation-grounded synthesis document as output without intermediate manual steps. The framework decomposes the review process into a sequence of specialized agents operating over a shared, persistent state object: a query-enhancement agent that performs semantic decomposition and dynamic reformulation of the input query; a retrieval agent that executes multi-source search and performs deduplication and initial relevance filtering; a screening agent that applies semantic-similarity-based inclusion criteria to shortlist candidate sources; an evaluation agent that performs evidence-strength and methodological classification; and a synthesis agent that drafts the structured review narrative, with an integrated verification loop that audits the draft against the underlying source set for factual grounding and citation accuracy prior to finalization.</w:t>
      </w:r>
    </w:p>
    <w:p>
      <w:pPr>
        <w:spacing w:after="160" w:before="0" w:line="480" w:lineRule="auto"/>
        <w:jc w:val="both"/>
      </w:pPr>
      <w:r>
        <w:rPr>
          <w:rFonts w:ascii="Times New Roman" w:cs="Times New Roman" w:eastAsia="Times New Roman" w:hAnsi="Times New Roman"/>
          <w:b/>
          <w:bCs/>
          <w:sz w:val="24"/>
          <w:szCs w:val="24"/>
        </w:rPr>
        <w:t xml:space="preserve">Core Contributions and Novelty:</w:t>
      </w:r>
    </w:p>
    <w:p>
      <w:pPr>
        <w:spacing w:after="160" w:before="0" w:line="480" w:lineRule="auto"/>
        <w:jc w:val="both"/>
      </w:pPr>
      <w:r>
        <w:rPr>
          <w:rFonts w:ascii="Times New Roman" w:cs="Times New Roman" w:eastAsia="Times New Roman" w:hAnsi="Times New Roman"/>
          <w:sz w:val="24"/>
          <w:szCs w:val="24"/>
        </w:rPr>
        <w:t xml:space="preserve">(1) A cascading multi-agent architecture that formally decomposes the literature review pipeline into discrete, role-bound agents communicating through a typed shared state, enabling dynamic state-routing and conditional re-invocation of upstream stages based on downstream evaluation outcomes, rather than a fixed linear pipeline.</w:t>
      </w:r>
    </w:p>
    <w:p>
      <w:pPr>
        <w:spacing w:after="160" w:before="0" w:line="480" w:lineRule="auto"/>
        <w:jc w:val="both"/>
      </w:pPr>
      <w:r>
        <w:rPr>
          <w:rFonts w:ascii="Times New Roman" w:cs="Times New Roman" w:eastAsia="Times New Roman" w:hAnsi="Times New Roman"/>
          <w:sz w:val="24"/>
          <w:szCs w:val="24"/>
        </w:rPr>
        <w:t xml:space="preserve">(2) A dynamic query-enhancement mechanism that performs semantic decomposition and iterative reformulation of the input research query, expanding domain terminology and adjusting search scope based on the relevance distribution of retrieved results, in contrast to single-pass static query construction.</w:t>
      </w:r>
    </w:p>
    <w:p>
      <w:pPr>
        <w:spacing w:after="160" w:before="0" w:line="480" w:lineRule="auto"/>
        <w:jc w:val="both"/>
      </w:pPr>
      <w:r>
        <w:rPr>
          <w:rFonts w:ascii="Times New Roman" w:cs="Times New Roman" w:eastAsia="Times New Roman" w:hAnsi="Times New Roman"/>
          <w:sz w:val="24"/>
          <w:szCs w:val="24"/>
        </w:rPr>
        <w:t xml:space="preserve">(3) A localized critique and evidence-evaluation matrix that classifies each retrieved source against methodological and evidentiary-strength criteria prior to synthesis, providing a structured intermediate representation that downstream synthesis agents consume rather than raw unstructured text.</w:t>
      </w:r>
    </w:p>
    <w:p>
      <w:pPr>
        <w:spacing w:after="160" w:before="0" w:line="480" w:lineRule="auto"/>
        <w:jc w:val="both"/>
      </w:pPr>
      <w:r>
        <w:rPr>
          <w:rFonts w:ascii="Times New Roman" w:cs="Times New Roman" w:eastAsia="Times New Roman" w:hAnsi="Times New Roman"/>
          <w:sz w:val="24"/>
          <w:szCs w:val="24"/>
        </w:rPr>
        <w:t xml:space="preserve">(4) An automated verification loop that audits the synthesized draft against the retrieved source corpus for citation fidelity and factual grounding, functioning as a context-window-bounded self-correction mechanism analogous to critic-reviewer patterns in agentic software engineering, applied here to scholarly synthesis output.</w:t>
      </w:r>
    </w:p>
    <w:p>
      <w:pPr>
        <w:spacing w:after="160" w:before="400"/>
      </w:pPr>
      <w:r>
        <w:rPr>
          <w:rFonts w:ascii="Times New Roman" w:cs="Times New Roman" w:eastAsia="Times New Roman" w:hAnsi="Times New Roman"/>
          <w:b/>
          <w:bCs/>
          <w:sz w:val="28"/>
          <w:szCs w:val="28"/>
        </w:rPr>
        <w:t xml:space="preserve">2. Literature Review</w:t>
      </w:r>
    </w:p>
    <w:p>
      <w:pPr>
        <w:spacing w:after="160" w:before="0" w:line="480" w:lineRule="auto"/>
        <w:jc w:val="both"/>
      </w:pPr>
      <w:r>
        <w:rPr>
          <w:rFonts w:ascii="Times New Roman" w:cs="Times New Roman" w:eastAsia="Times New Roman" w:hAnsi="Times New Roman"/>
          <w:sz w:val="24"/>
          <w:szCs w:val="24"/>
        </w:rPr>
        <w:t xml:space="preserve">The application of large language models to scientific literature workflows has progressed rapidly over the 2024-2026 period, moving from simple summarization tools toward orchestrated, tool-using agents. This section analyzes 13 representative works organized chronologically, characterizing each along four analytical pillars: the specific problem addressed, the methodology employed, key results achieved, and the critical limitations or gaps that motivate the present work.</w:t>
      </w:r>
    </w:p>
    <w:p>
      <w:pPr>
        <w:spacing w:after="120" w:before="280"/>
      </w:pPr>
      <w:r>
        <w:rPr>
          <w:rFonts w:ascii="Times New Roman" w:cs="Times New Roman" w:eastAsia="Times New Roman" w:hAnsi="Times New Roman"/>
          <w:b/>
          <w:bCs/>
          <w:i/>
          <w:iCs/>
          <w:sz w:val="26"/>
          <w:szCs w:val="26"/>
        </w:rPr>
        <w:t xml:space="preserve">2.1 Research from 2024</w:t>
      </w:r>
    </w:p>
    <w:p>
      <w:pPr>
        <w:spacing w:after="160" w:before="0" w:line="480" w:lineRule="auto"/>
        <w:jc w:val="both"/>
      </w:pPr>
      <w:r>
        <w:rPr>
          <w:rFonts w:ascii="Times New Roman" w:cs="Times New Roman" w:eastAsia="Times New Roman" w:hAnsi="Times New Roman"/>
          <w:sz w:val="24"/>
          <w:szCs w:val="24"/>
        </w:rPr>
        <w:t xml:space="preserve">The year 2024 marks the transition point at which retrieval-augmented and tool-using LLM systems began to be applied, in fragmented form, to scholarly information tasks, though without the closed-loop, multi-agent orchestration that characterizes the framework proposed in this paper.</w:t>
      </w:r>
    </w:p>
    <w:p>
      <w:pPr>
        <w:spacing w:after="160" w:before="0" w:line="480" w:lineRule="auto"/>
        <w:jc w:val="both"/>
      </w:pPr>
      <w:r>
        <w:rPr>
          <w:rFonts w:ascii="Times New Roman" w:cs="Times New Roman" w:eastAsia="Times New Roman" w:hAnsi="Times New Roman"/>
          <w:sz w:val="24"/>
          <w:szCs w:val="24"/>
        </w:rPr>
        <w:t xml:space="preserve">Gao et al. (2024) addressed the problem of factual staleness and hallucination in LLM-generated responses to knowledge-intensive queries. Their methodology consolidated the Retrieval-Augmented Generation (RAG) paradigm into a systematic survey, formalizing the retrieve-then-generate pipeline as a two-stage process in which a dense retriever surfaces candidate passages concatenated into the generation context. Their key result was the establishment of RAG as the dominant architecture for grounding LLM outputs in external corpora, with documented accuracy improvements over closed-book generation across multiple benchmarks. The critical limitation is that single-pass RAG performs retrieval exactly once per query, with no mechanism to reformulate the query, screen retrieved documents for relevance prior to generation, or verify the generated output against the retrieved evidence after the fact — a gap the present framework closes through its iterative query-enhancement and verification loop components.</w:t>
      </w:r>
    </w:p>
    <w:p>
      <w:pPr>
        <w:spacing w:after="160" w:before="0" w:line="480" w:lineRule="auto"/>
        <w:jc w:val="both"/>
      </w:pPr>
      <w:r>
        <w:rPr>
          <w:rFonts w:ascii="Times New Roman" w:cs="Times New Roman" w:eastAsia="Times New Roman" w:hAnsi="Times New Roman"/>
          <w:sz w:val="24"/>
          <w:szCs w:val="24"/>
        </w:rPr>
        <w:t xml:space="preserve">Wu et al. (2024) addressed the problem of enabling multiple LLM instances to collaborate on tasks exceeding the capacity of any single model invocation. Their methodology, instantiated as the AutoGen framework, defined a conversational protocol in which agents exchange natural-language messages within a shared dialogue thread, with a designated orchestrator agent managing turn-taking. Their key results demonstrated that multi-agent conversation could solve coding and reasoning tasks that single-agent prompting failed to complete, by allowing one agent to critique and correct another's output. The limitation relevant to literature review automation is that AutoGen's communication substrate is unstructured natural-language dialogue rather than a typed shared state object, meaning that intermediate artifacts such as a screened source list or an evidence matrix have no persistent, machine-readable representation that downstream agents can reliably parse, a gap the present framework closes through its typed shared state schema.</w:t>
      </w:r>
    </w:p>
    <w:p>
      <w:pPr>
        <w:spacing w:after="160" w:before="0" w:line="480" w:lineRule="auto"/>
        <w:jc w:val="both"/>
      </w:pPr>
      <w:r>
        <w:rPr>
          <w:rFonts w:ascii="Times New Roman" w:cs="Times New Roman" w:eastAsia="Times New Roman" w:hAnsi="Times New Roman"/>
          <w:sz w:val="24"/>
          <w:szCs w:val="24"/>
        </w:rPr>
        <w:t xml:space="preserve">Liu et al. (2024) addressed the absence of standardized evaluation protocols for LLM agents operating in multi-step environments. Their methodology introduced AgentBench, a suite of environments spanning operating systems, databases, and web tasks, against which agent trajectories were scored for task completion. Their key result was the empirical demonstration that agentic performance degrades sharply with trajectory length, with most evaluated models showing substantial drop-off beyond five to seven sequential actions. The limitation directly motivates the cascading agent-decomposition approach of this paper: long literature review pipelines, if implemented as a single agent's extended trajectory, would suffer the same degradation; the proposed framework avoids this by bounding each agent's trajectory to a narrow, well-defined subtask.</w:t>
      </w:r>
    </w:p>
    <w:p>
      <w:pPr>
        <w:spacing w:after="160" w:before="0" w:line="480" w:lineRule="auto"/>
        <w:jc w:val="both"/>
      </w:pPr>
      <w:r>
        <w:rPr>
          <w:rFonts w:ascii="Times New Roman" w:cs="Times New Roman" w:eastAsia="Times New Roman" w:hAnsi="Times New Roman"/>
          <w:sz w:val="24"/>
          <w:szCs w:val="24"/>
        </w:rPr>
        <w:t xml:space="preserve">Tang et al. (2024) addressed zero-shot medical reasoning, proposing MedAgents, a framework in which multiple LLM personas representing different clinical specialties collaborate to answer a medical question through structured discussion rounds. Their key results showed accuracy improvements over single-agent prompting on medical question-answering benchmarks. The limitation is that MedAgents' agents are role-prompted personas operating on the same static input rather than agents performing distinct functional operations such as retrieval, screening, or verification; no agent in their pipeline interacts with an external corpus or modifies a shared task state, which is the central mechanism the present framework relies upon.</w:t>
      </w:r>
    </w:p>
    <w:p>
      <w:pPr>
        <w:spacing w:after="160" w:before="0" w:line="480" w:lineRule="auto"/>
        <w:jc w:val="both"/>
      </w:pPr>
      <w:r>
        <w:rPr>
          <w:rFonts w:ascii="Times New Roman" w:cs="Times New Roman" w:eastAsia="Times New Roman" w:hAnsi="Times New Roman"/>
          <w:sz w:val="24"/>
          <w:szCs w:val="24"/>
        </w:rPr>
        <w:t xml:space="preserve">Jin et al. (2024) addressed the evaluation of biomedical question-answering systems against literature-grounded reference answers, extending the PubMedQA benchmark with additional evaluation conditions. Their key result quantified the gap between parametric model knowledge and literature-grounded answers, showing that models frequently produced plausible but unsupported claims. The limitation is that their work is purely evaluative; it identifies the grounding gap without proposing an architectural mechanism — such as an automated verification loop — to close it, which is one of the explicit contributions of the present framework.</w:t>
      </w:r>
    </w:p>
    <w:p>
      <w:pPr>
        <w:spacing w:after="120" w:before="280"/>
      </w:pPr>
      <w:r>
        <w:rPr>
          <w:rFonts w:ascii="Times New Roman" w:cs="Times New Roman" w:eastAsia="Times New Roman" w:hAnsi="Times New Roman"/>
          <w:b/>
          <w:bCs/>
          <w:i/>
          <w:iCs/>
          <w:sz w:val="26"/>
          <w:szCs w:val="26"/>
        </w:rPr>
        <w:t xml:space="preserve">2.2 Research from 2025</w:t>
      </w:r>
    </w:p>
    <w:p>
      <w:pPr>
        <w:spacing w:after="160" w:before="0" w:line="480" w:lineRule="auto"/>
        <w:jc w:val="both"/>
      </w:pPr>
      <w:r>
        <w:rPr>
          <w:rFonts w:ascii="Times New Roman" w:cs="Times New Roman" w:eastAsia="Times New Roman" w:hAnsi="Times New Roman"/>
          <w:sz w:val="24"/>
          <w:szCs w:val="24"/>
        </w:rPr>
        <w:t xml:space="preserve">Research in 2025 saw the consolidation of stateful graph-based orchestration as the dominant architectural pattern for agentic systems, alongside the first applications of multi-agent pipelines to structured knowledge-work domains beyond coding and dialogue.</w:t>
      </w:r>
    </w:p>
    <w:p>
      <w:pPr>
        <w:spacing w:after="160" w:before="0" w:line="480" w:lineRule="auto"/>
        <w:jc w:val="both"/>
      </w:pPr>
      <w:r>
        <w:rPr>
          <w:rFonts w:ascii="Times New Roman" w:cs="Times New Roman" w:eastAsia="Times New Roman" w:hAnsi="Times New Roman"/>
          <w:sz w:val="24"/>
          <w:szCs w:val="24"/>
        </w:rPr>
        <w:t xml:space="preserve">Acharya, Kuppan, and Divya (2025) addressed the absence of a unifying theoretical framework characterizing what distinguishes agentic AI systems from conventional automated pipelines. Their methodology consisted of a comprehensive survey synthesizing architectural patterns across deployed agentic systems, from which they derived an operational taxonomy of defining characteristics including autonomy, goal-directedness, adaptivity, and proactivity. Their key result was the establishment of this taxonomy as a measurable framework against which any candidate system can be evaluated for its agentic properties. The limitation is that the survey is descriptive and cross-domain; it does not instantiate the taxonomy within a concrete pipeline for any specific knowledge-intensive task, leaving open the question of how these properties manifest operationally in a domain such as literature review, which this paper makes explicit.</w:t>
      </w:r>
    </w:p>
    <w:p>
      <w:pPr>
        <w:spacing w:after="160" w:before="0" w:line="480" w:lineRule="auto"/>
        <w:jc w:val="both"/>
      </w:pPr>
      <w:r>
        <w:rPr>
          <w:rFonts w:ascii="Times New Roman" w:cs="Times New Roman" w:eastAsia="Times New Roman" w:hAnsi="Times New Roman"/>
          <w:sz w:val="24"/>
          <w:szCs w:val="24"/>
        </w:rPr>
        <w:t xml:space="preserve">The LangChain AI development team (2025) addressed the engineering problem of building stateful, multi-actor LLM applications with explicit support for human-in-the-loop interruption and resumption. Their methodology produced LangGraph, a framework representing agent pipelines as directed graphs with typed state objects, conditional edges, and a checkpointing mechanism that persists state across execution interrupts. Their key result was a production-grade orchestration substrate adopted across numerous downstream agentic applications, demonstrating that graph-based state management resolves the context-fragmentation issues observed in conversational multi-agent frameworks. The limitation is that LangGraph itself is domain-agnostic infrastructure; it provides no pre-built agent roles, screening logic, or evidence-classification schema applicable to literature review, meaning that any such pipeline must still be designed and validated.</w:t>
      </w:r>
    </w:p>
    <w:p>
      <w:pPr>
        <w:spacing w:after="160" w:before="0" w:line="480" w:lineRule="auto"/>
        <w:jc w:val="both"/>
      </w:pPr>
      <w:r>
        <w:rPr>
          <w:rFonts w:ascii="Times New Roman" w:cs="Times New Roman" w:eastAsia="Times New Roman" w:hAnsi="Times New Roman"/>
          <w:sz w:val="24"/>
          <w:szCs w:val="24"/>
        </w:rPr>
        <w:t xml:space="preserve">Karunayake (2025) addressed the application of agentic AI to transform operational workflows in healthcare delivery, focusing on how multi-agent systems could be integrated into clinical and administrative processes. The methodology presented a conceptual architecture mapping agentic roles onto existing healthcare workflows, supported by case discussions of early deployments. The key result was a set of design principles for agentic integration into high-stakes operational environments, emphasizing the necessity of human-in-the-loop checkpoints at decision-critical junctures. The limitation is that the work remains largely architectural and conceptual rather than empirically evaluated against quantitative throughput or accuracy metrics, and it does not address literature synthesis as a task domain.</w:t>
      </w:r>
    </w:p>
    <w:p>
      <w:pPr>
        <w:spacing w:after="160" w:before="0" w:line="480" w:lineRule="auto"/>
        <w:jc w:val="both"/>
      </w:pPr>
      <w:r>
        <w:rPr>
          <w:rFonts w:ascii="Times New Roman" w:cs="Times New Roman" w:eastAsia="Times New Roman" w:hAnsi="Times New Roman"/>
          <w:sz w:val="24"/>
          <w:szCs w:val="24"/>
        </w:rPr>
        <w:t xml:space="preserve">Hosseini and Seilani (2025) addressed the broader question of how agentic AI is reshaping knowledge-work domains, conducting a systematic review of agentic AI applications across sectors including research, finance, and software development. Their key result was the identification of research and literature synthesis as a domain with high theoretical suitability for agentic automation but with comparatively few mature implementations relative to coding or customer-service domains, a gap the authors explicitly flagged as underexplored. The limitation, which this paper directly responds to, is precisely this absence: the review identifies the opportunity without proposing or evaluating a concrete architecture for it.</w:t>
      </w:r>
    </w:p>
    <w:p>
      <w:pPr>
        <w:spacing w:after="160" w:before="0" w:line="480" w:lineRule="auto"/>
        <w:jc w:val="both"/>
      </w:pPr>
      <w:r>
        <w:rPr>
          <w:rFonts w:ascii="Times New Roman" w:cs="Times New Roman" w:eastAsia="Times New Roman" w:hAnsi="Times New Roman"/>
          <w:sz w:val="24"/>
          <w:szCs w:val="24"/>
        </w:rPr>
        <w:t xml:space="preserve">Schmidgall et al. (2025) addressed the evaluation of multi-agent collaboration in simulated clinical environments through AgentClinic, a benchmark in which agent personas representing physicians, patients, and measurement instruments interact across diagnostic encounters. Their key result demonstrated that agent performance was highly sensitive to the fidelity of inter-agent communication protocols, with structured information exchange outperforming free-form dialogue. The limitation is that AgentClinic's multi-agent interactions are simulation-internal and do not involve retrieval from or synthesis of external literature corpora, meaning the evidence-handling patterns it validates have not been demonstrated in a literature-grounded synthesis pipeline.</w:t>
      </w:r>
    </w:p>
    <w:p>
      <w:pPr>
        <w:spacing w:after="120" w:before="280"/>
      </w:pPr>
      <w:r>
        <w:rPr>
          <w:rFonts w:ascii="Times New Roman" w:cs="Times New Roman" w:eastAsia="Times New Roman" w:hAnsi="Times New Roman"/>
          <w:b/>
          <w:bCs/>
          <w:i/>
          <w:iCs/>
          <w:sz w:val="26"/>
          <w:szCs w:val="26"/>
        </w:rPr>
        <w:t xml:space="preserve">2.3 Research from 2026</w:t>
      </w:r>
    </w:p>
    <w:p>
      <w:pPr>
        <w:spacing w:after="160" w:before="0" w:line="480" w:lineRule="auto"/>
        <w:jc w:val="both"/>
      </w:pPr>
      <w:r>
        <w:rPr>
          <w:rFonts w:ascii="Times New Roman" w:cs="Times New Roman" w:eastAsia="Times New Roman" w:hAnsi="Times New Roman"/>
          <w:sz w:val="24"/>
          <w:szCs w:val="24"/>
        </w:rPr>
        <w:t xml:space="preserve">By 2026, agentic frameworks began to be explicitly instantiated for literature-grounded synthesis tasks within specific scientific domains, providing the closest existing analogues to the framework proposed in this paper, while still exhibiting scope limitations that motivate a generalized, domain-agnostic approach.</w:t>
      </w:r>
    </w:p>
    <w:p>
      <w:pPr>
        <w:spacing w:after="160" w:before="0" w:line="480" w:lineRule="auto"/>
        <w:jc w:val="both"/>
      </w:pPr>
      <w:r>
        <w:rPr>
          <w:rFonts w:ascii="Times New Roman" w:cs="Times New Roman" w:eastAsia="Times New Roman" w:hAnsi="Times New Roman"/>
          <w:sz w:val="24"/>
          <w:szCs w:val="24"/>
        </w:rPr>
        <w:t xml:space="preserve">Moralles et al. (2026) addressed the lack of a consolidated definitional and architectural reference for agentic AI systems, conducting a systematic literature review of agentic AI definitions, architectural patterns, and open challenges through early 2026. Their methodology applied a structured systematic review protocol, screening a large corpus of candidate papers down to a final analyzed set, from which they extracted recurring architectural motifs including planner-executor decompositions, memory modules, and tool-use interfaces. Their key result was a structured taxonomy of agentic architectures and an enumeration of open challenges, including the absence of standardized inter-agent state representations and the difficulty of verifying agent outputs against source evidence. The limitation is that this work is itself a manually conducted systematic review; the authors note that the scale of literature growth makes manual reviews increasingly difficult to sustain, which is the precise problem this paper's framework is designed to automate.</w:t>
      </w:r>
    </w:p>
    <w:p>
      <w:pPr>
        <w:spacing w:after="160" w:before="0" w:line="480" w:lineRule="auto"/>
        <w:jc w:val="both"/>
      </w:pPr>
      <w:r>
        <w:rPr>
          <w:rFonts w:ascii="Times New Roman" w:cs="Times New Roman" w:eastAsia="Times New Roman" w:hAnsi="Times New Roman"/>
          <w:sz w:val="24"/>
          <w:szCs w:val="24"/>
        </w:rPr>
        <w:t xml:space="preserve">A research team building on the LangGraph substrate (MedGraph line of work, 2026) addressed automated biomedical evidence synthesis from PubMed literature, proposing a four-node agentic pipeline comprising a ReAct-based retrieval agent, a direct-LLM evidence classification agent, a human-in-the-loop interrupt node, and a tool-direct report dispatcher. Their key results showed consistent retrieval of a fixed article quota per query, classification accuracy of approximately 87 percent against physician-annotated reference labels, and full delivery success across test cases, with ablation confirming that ReAct-based retrieval substantially outperformed direct-LLM query formulation. The limitation is twofold: the pipeline is scoped specifically to biomedical evidence classification and email-based report delivery rather than general-purpose academic synthesis, and it lacks both a dynamic query-reformulation loop responsive to retrieval adequacy and a dedicated draft-verification stage.</w:t>
      </w:r>
    </w:p>
    <w:p>
      <w:pPr>
        <w:spacing w:after="160" w:before="0" w:line="480" w:lineRule="auto"/>
        <w:jc w:val="both"/>
      </w:pPr>
      <w:r>
        <w:rPr>
          <w:rFonts w:ascii="Times New Roman" w:cs="Times New Roman" w:eastAsia="Times New Roman" w:hAnsi="Times New Roman"/>
          <w:sz w:val="24"/>
          <w:szCs w:val="24"/>
        </w:rPr>
        <w:t xml:space="preserve">A second 2026 line of work addressing agentic evaluation methodology examined failure modes in agentic retrieval pipelines, identifying systematic issues including duplicate-record retrieval arising from index artifacts in bibliographic databases and query scope drift arising from over-generalized term expansion. The methodology involved post-hoc analysis of agent execution traces, categorizing failures by root cause and proposing targeted remediations. The key result was a characterized taxonomy of failure modes specific to agentic literature retrieval. The limitation is that these remediations were proposed as point fixes to an existing pipeline rather than incorporated as standing architectural components; this paper's framework integrates deduplication and scope-constrained query enhancement as default architectural behaviors.</w:t>
      </w:r>
    </w:p>
    <w:p>
      <w:pPr>
        <w:spacing w:after="120" w:before="280"/>
      </w:pPr>
      <w:r>
        <w:rPr>
          <w:rFonts w:ascii="Times New Roman" w:cs="Times New Roman" w:eastAsia="Times New Roman" w:hAnsi="Times New Roman"/>
          <w:b/>
          <w:bCs/>
          <w:i/>
          <w:iCs/>
          <w:sz w:val="26"/>
          <w:szCs w:val="26"/>
        </w:rPr>
        <w:t xml:space="preserve">2.4 Synthesis and Identified Gap</w:t>
      </w:r>
    </w:p>
    <w:p>
      <w:pPr>
        <w:spacing w:after="160" w:before="0" w:line="480" w:lineRule="auto"/>
        <w:jc w:val="both"/>
      </w:pPr>
      <w:r>
        <w:rPr>
          <w:rFonts w:ascii="Times New Roman" w:cs="Times New Roman" w:eastAsia="Times New Roman" w:hAnsi="Times New Roman"/>
          <w:sz w:val="24"/>
          <w:szCs w:val="24"/>
        </w:rPr>
        <w:t xml:space="preserve">Taken together, the 2024-2026 literature establishes three converging threads: the maturation of stateful, graph-based multi-agent orchestration as infrastructure (2024-2025), the recognition of literature synthesis as a high-value but underexplored application domain for this infrastructure (2025), and the first domain-specific instantiations of agentic literature pipelines that remain narrow in scope and lack integrated query-enhancement and verification loops (2026). The framework proposed in this paper is positioned at the convergence of these threads, generalizing the cascading-agent pattern into a domain-agnostic, end-to-end literature review pipeline with dynamic query enhancement, evidence-strength evaluation, and automated draft verification as first-class architectural components.</w:t>
      </w:r>
    </w:p>
    <w:p>
      <w:pPr>
        <w:spacing w:after="120" w:before="280"/>
        <w:jc w:val="center"/>
      </w:pPr>
      <w:r>
        <w:rPr>
          <w:rFonts w:ascii="Times New Roman" w:cs="Times New Roman" w:eastAsia="Times New Roman" w:hAnsi="Times New Roman"/>
          <w:b/>
          <w:bCs/>
          <w:sz w:val="24"/>
          <w:szCs w:val="24"/>
        </w:rPr>
        <w:t xml:space="preserve">Table 1: Comparative Synthesis of Reviewed Literature (2024-2026)</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1900"/>
        <w:gridCol w:w="2000"/>
        <w:gridCol w:w="1900"/>
      </w:tblGrid>
      <w:tr>
        <w:trPr>
          <w:tblHeader/>
        </w:trPr>
        <w:tc>
          <w:tcPr>
            <w:tcW w:type="dxa" w:w="1100"/>
            <w:shd w:fill="2E75B6" w:color="auto" w:val="clear"/>
            <w:tcMar>
              <w:top w:type="dxa" w:w="80"/>
              <w:left w:type="dxa" w:w="100"/>
              <w:bottom w:type="dxa" w:w="80"/>
              <w:right w:type="dxa" w:w="100"/>
            </w:tcMar>
          </w:tcPr>
          <w:p>
            <w:pPr>
              <w:spacing w:after="60" w:before="60"/>
            </w:pPr>
            <w:r>
              <w:rPr>
                <w:rFonts w:ascii="Times New Roman" w:cs="Times New Roman" w:eastAsia="Times New Roman" w:hAnsi="Times New Roman"/>
                <w:b/>
                <w:bCs/>
                <w:color w:val="FFFFFF"/>
                <w:sz w:val="18"/>
                <w:szCs w:val="18"/>
              </w:rPr>
              <w:t xml:space="preserve">Author &amp; Year</w:t>
            </w:r>
          </w:p>
        </w:tc>
        <w:tc>
          <w:tcPr>
            <w:tcW w:type="dxa" w:w="1900"/>
            <w:shd w:fill="2E75B6" w:color="auto" w:val="clear"/>
            <w:tcMar>
              <w:top w:type="dxa" w:w="80"/>
              <w:left w:type="dxa" w:w="100"/>
              <w:bottom w:type="dxa" w:w="80"/>
              <w:right w:type="dxa" w:w="100"/>
            </w:tcMar>
          </w:tcPr>
          <w:p>
            <w:pPr>
              <w:spacing w:after="60" w:before="60"/>
            </w:pPr>
            <w:r>
              <w:rPr>
                <w:rFonts w:ascii="Times New Roman" w:cs="Times New Roman" w:eastAsia="Times New Roman" w:hAnsi="Times New Roman"/>
                <w:b/>
                <w:bCs/>
                <w:color w:val="FFFFFF"/>
                <w:sz w:val="18"/>
                <w:szCs w:val="18"/>
              </w:rPr>
              <w:t xml:space="preserve">Problem Addressed</w:t>
            </w:r>
          </w:p>
        </w:tc>
        <w:tc>
          <w:tcPr>
            <w:tcW w:type="dxa" w:w="1900"/>
            <w:shd w:fill="2E75B6" w:color="auto" w:val="clear"/>
            <w:tcMar>
              <w:top w:type="dxa" w:w="80"/>
              <w:left w:type="dxa" w:w="100"/>
              <w:bottom w:type="dxa" w:w="80"/>
              <w:right w:type="dxa" w:w="100"/>
            </w:tcMar>
          </w:tcPr>
          <w:p>
            <w:pPr>
              <w:spacing w:after="60" w:before="60"/>
            </w:pPr>
            <w:r>
              <w:rPr>
                <w:rFonts w:ascii="Times New Roman" w:cs="Times New Roman" w:eastAsia="Times New Roman" w:hAnsi="Times New Roman"/>
                <w:b/>
                <w:bCs/>
                <w:color w:val="FFFFFF"/>
                <w:sz w:val="18"/>
                <w:szCs w:val="18"/>
              </w:rPr>
              <w:t xml:space="preserve">Methodology / Technique</w:t>
            </w:r>
          </w:p>
        </w:tc>
        <w:tc>
          <w:tcPr>
            <w:tcW w:type="dxa" w:w="2000"/>
            <w:shd w:fill="2E75B6" w:color="auto" w:val="clear"/>
            <w:tcMar>
              <w:top w:type="dxa" w:w="80"/>
              <w:left w:type="dxa" w:w="100"/>
              <w:bottom w:type="dxa" w:w="80"/>
              <w:right w:type="dxa" w:w="100"/>
            </w:tcMar>
          </w:tcPr>
          <w:p>
            <w:pPr>
              <w:spacing w:after="60" w:before="60"/>
            </w:pPr>
            <w:r>
              <w:rPr>
                <w:rFonts w:ascii="Times New Roman" w:cs="Times New Roman" w:eastAsia="Times New Roman" w:hAnsi="Times New Roman"/>
                <w:b/>
                <w:bCs/>
                <w:color w:val="FFFFFF"/>
                <w:sz w:val="18"/>
                <w:szCs w:val="18"/>
              </w:rPr>
              <w:t xml:space="preserve">Key Results</w:t>
            </w:r>
          </w:p>
        </w:tc>
        <w:tc>
          <w:tcPr>
            <w:tcW w:type="dxa" w:w="1900"/>
            <w:shd w:fill="2E75B6" w:color="auto" w:val="clear"/>
            <w:tcMar>
              <w:top w:type="dxa" w:w="80"/>
              <w:left w:type="dxa" w:w="100"/>
              <w:bottom w:type="dxa" w:w="80"/>
              <w:right w:type="dxa" w:w="100"/>
            </w:tcMar>
          </w:tcPr>
          <w:p>
            <w:pPr>
              <w:spacing w:after="60" w:before="60"/>
            </w:pPr>
            <w:r>
              <w:rPr>
                <w:rFonts w:ascii="Times New Roman" w:cs="Times New Roman" w:eastAsia="Times New Roman" w:hAnsi="Times New Roman"/>
                <w:b/>
                <w:bCs/>
                <w:color w:val="FFFFFF"/>
                <w:sz w:val="18"/>
                <w:szCs w:val="18"/>
              </w:rPr>
              <w:t xml:space="preserve">Limitations / Gaps</w:t>
            </w:r>
          </w:p>
        </w:tc>
      </w:tr>
      <w:tr>
        <w:tc>
          <w:tcPr>
            <w:tcW w:type="dxa" w:w="1100"/>
            <w:shd w:fill="EBF3FB" w:color="auto" w:val="clear"/>
            <w:tcMar>
              <w:top w:type="dxa" w:w="80"/>
              <w:left w:type="dxa" w:w="100"/>
              <w:bottom w:type="dxa" w:w="80"/>
              <w:right w:type="dxa" w:w="100"/>
            </w:tcMar>
          </w:tcPr>
          <w:p>
            <w:pPr>
              <w:spacing w:after="60" w:before="60"/>
            </w:pPr>
            <w:r>
              <w:rPr>
                <w:rFonts w:ascii="Times New Roman" w:cs="Times New Roman" w:eastAsia="Times New Roman" w:hAnsi="Times New Roman"/>
                <w:sz w:val="18"/>
                <w:szCs w:val="18"/>
              </w:rPr>
              <w:t xml:space="preserve">Gao et al. (2024)</w:t>
            </w:r>
          </w:p>
        </w:tc>
        <w:tc>
          <w:tcPr>
            <w:tcW w:type="dxa" w:w="1900"/>
            <w:shd w:fill="EBF3FB" w:color="auto" w:val="clear"/>
            <w:tcMar>
              <w:top w:type="dxa" w:w="80"/>
              <w:left w:type="dxa" w:w="100"/>
              <w:bottom w:type="dxa" w:w="80"/>
              <w:right w:type="dxa" w:w="100"/>
            </w:tcMar>
          </w:tcPr>
          <w:p>
            <w:pPr>
              <w:spacing w:after="60" w:before="60"/>
            </w:pPr>
            <w:r>
              <w:rPr>
                <w:rFonts w:ascii="Times New Roman" w:cs="Times New Roman" w:eastAsia="Times New Roman" w:hAnsi="Times New Roman"/>
                <w:sz w:val="18"/>
                <w:szCs w:val="18"/>
              </w:rPr>
              <w:t xml:space="preserve">Factual staleness/hallucination in knowledge-intensive LLM outputs</w:t>
            </w:r>
          </w:p>
        </w:tc>
        <w:tc>
          <w:tcPr>
            <w:tcW w:type="dxa" w:w="1900"/>
            <w:shd w:fill="EBF3FB" w:color="auto" w:val="clear"/>
            <w:tcMar>
              <w:top w:type="dxa" w:w="80"/>
              <w:left w:type="dxa" w:w="100"/>
              <w:bottom w:type="dxa" w:w="80"/>
              <w:right w:type="dxa" w:w="100"/>
            </w:tcMar>
          </w:tcPr>
          <w:p>
            <w:pPr>
              <w:spacing w:after="60" w:before="60"/>
            </w:pPr>
            <w:r>
              <w:rPr>
                <w:rFonts w:ascii="Times New Roman" w:cs="Times New Roman" w:eastAsia="Times New Roman" w:hAnsi="Times New Roman"/>
                <w:sz w:val="18"/>
                <w:szCs w:val="18"/>
              </w:rPr>
              <w:t xml:space="preserve">Survey and formalization of single-pass Retrieval-Augmented Generation (RAG)</w:t>
            </w:r>
          </w:p>
        </w:tc>
        <w:tc>
          <w:tcPr>
            <w:tcW w:type="dxa" w:w="2000"/>
            <w:shd w:fill="EBF3FB" w:color="auto" w:val="clear"/>
            <w:tcMar>
              <w:top w:type="dxa" w:w="80"/>
              <w:left w:type="dxa" w:w="100"/>
              <w:bottom w:type="dxa" w:w="80"/>
              <w:right w:type="dxa" w:w="100"/>
            </w:tcMar>
          </w:tcPr>
          <w:p>
            <w:pPr>
              <w:spacing w:after="60" w:before="60"/>
            </w:pPr>
            <w:r>
              <w:rPr>
                <w:rFonts w:ascii="Times New Roman" w:cs="Times New Roman" w:eastAsia="Times New Roman" w:hAnsi="Times New Roman"/>
                <w:sz w:val="18"/>
                <w:szCs w:val="18"/>
              </w:rPr>
              <w:t xml:space="preserve">Established retrieve-then-generate as dominant grounding architecture; accuracy gains over closed-book generation</w:t>
            </w:r>
          </w:p>
        </w:tc>
        <w:tc>
          <w:tcPr>
            <w:tcW w:type="dxa" w:w="1900"/>
            <w:shd w:fill="EBF3FB" w:color="auto" w:val="clear"/>
            <w:tcMar>
              <w:top w:type="dxa" w:w="80"/>
              <w:left w:type="dxa" w:w="100"/>
              <w:bottom w:type="dxa" w:w="80"/>
              <w:right w:type="dxa" w:w="100"/>
            </w:tcMar>
          </w:tcPr>
          <w:p>
            <w:pPr>
              <w:spacing w:after="60" w:before="60"/>
            </w:pPr>
            <w:r>
              <w:rPr>
                <w:rFonts w:ascii="Times New Roman" w:cs="Times New Roman" w:eastAsia="Times New Roman" w:hAnsi="Times New Roman"/>
                <w:sz w:val="18"/>
                <w:szCs w:val="18"/>
              </w:rPr>
              <w:t xml:space="preserve">No query reformulation, relevance screening, or post-generation verification</w:t>
            </w:r>
          </w:p>
        </w:tc>
      </w:tr>
      <w:tr>
        <w:tc>
          <w:tcPr>
            <w:tcW w:type="dxa" w:w="1100"/>
            <w:tcMar>
              <w:top w:type="dxa" w:w="80"/>
              <w:left w:type="dxa" w:w="100"/>
              <w:bottom w:type="dxa" w:w="80"/>
              <w:right w:type="dxa" w:w="100"/>
            </w:tcMar>
          </w:tcPr>
          <w:p>
            <w:pPr>
              <w:spacing w:after="60" w:before="60"/>
            </w:pPr>
            <w:r>
              <w:rPr>
                <w:rFonts w:ascii="Times New Roman" w:cs="Times New Roman" w:eastAsia="Times New Roman" w:hAnsi="Times New Roman"/>
                <w:sz w:val="18"/>
                <w:szCs w:val="18"/>
              </w:rPr>
              <w:t xml:space="preserve">Wu et al. (2024)</w:t>
            </w:r>
          </w:p>
        </w:tc>
        <w:tc>
          <w:tcPr>
            <w:tcW w:type="dxa" w:w="1900"/>
            <w:tcMar>
              <w:top w:type="dxa" w:w="80"/>
              <w:left w:type="dxa" w:w="100"/>
              <w:bottom w:type="dxa" w:w="80"/>
              <w:right w:type="dxa" w:w="100"/>
            </w:tcMar>
          </w:tcPr>
          <w:p>
            <w:pPr>
              <w:spacing w:after="60" w:before="60"/>
            </w:pPr>
            <w:r>
              <w:rPr>
                <w:rFonts w:ascii="Times New Roman" w:cs="Times New Roman" w:eastAsia="Times New Roman" w:hAnsi="Times New Roman"/>
                <w:sz w:val="18"/>
                <w:szCs w:val="18"/>
              </w:rPr>
              <w:t xml:space="preserve">Tasks exceeding single-LLM-call capacity</w:t>
            </w:r>
          </w:p>
        </w:tc>
        <w:tc>
          <w:tcPr>
            <w:tcW w:type="dxa" w:w="1900"/>
            <w:tcMar>
              <w:top w:type="dxa" w:w="80"/>
              <w:left w:type="dxa" w:w="100"/>
              <w:bottom w:type="dxa" w:w="80"/>
              <w:right w:type="dxa" w:w="100"/>
            </w:tcMar>
          </w:tcPr>
          <w:p>
            <w:pPr>
              <w:spacing w:after="60" w:before="60"/>
            </w:pPr>
            <w:r>
              <w:rPr>
                <w:rFonts w:ascii="Times New Roman" w:cs="Times New Roman" w:eastAsia="Times New Roman" w:hAnsi="Times New Roman"/>
                <w:sz w:val="18"/>
                <w:szCs w:val="18"/>
              </w:rPr>
              <w:t xml:space="preserve">AutoGen: conversational multi-agent dialogue with orchestrator-managed turn-taking</w:t>
            </w:r>
          </w:p>
        </w:tc>
        <w:tc>
          <w:tcPr>
            <w:tcW w:type="dxa" w:w="2000"/>
            <w:tcMar>
              <w:top w:type="dxa" w:w="80"/>
              <w:left w:type="dxa" w:w="100"/>
              <w:bottom w:type="dxa" w:w="80"/>
              <w:right w:type="dxa" w:w="100"/>
            </w:tcMar>
          </w:tcPr>
          <w:p>
            <w:pPr>
              <w:spacing w:after="60" w:before="60"/>
            </w:pPr>
            <w:r>
              <w:rPr>
                <w:rFonts w:ascii="Times New Roman" w:cs="Times New Roman" w:eastAsia="Times New Roman" w:hAnsi="Times New Roman"/>
                <w:sz w:val="18"/>
                <w:szCs w:val="18"/>
              </w:rPr>
              <w:t xml:space="preserve">Multi-agent dialogue solved tasks unsolvable by single-agent prompting via critique/correction</w:t>
            </w:r>
          </w:p>
        </w:tc>
        <w:tc>
          <w:tcPr>
            <w:tcW w:type="dxa" w:w="1900"/>
            <w:tcMar>
              <w:top w:type="dxa" w:w="80"/>
              <w:left w:type="dxa" w:w="100"/>
              <w:bottom w:type="dxa" w:w="80"/>
              <w:right w:type="dxa" w:w="100"/>
            </w:tcMar>
          </w:tcPr>
          <w:p>
            <w:pPr>
              <w:spacing w:after="60" w:before="60"/>
            </w:pPr>
            <w:r>
              <w:rPr>
                <w:rFonts w:ascii="Times New Roman" w:cs="Times New Roman" w:eastAsia="Times New Roman" w:hAnsi="Times New Roman"/>
                <w:sz w:val="18"/>
                <w:szCs w:val="18"/>
              </w:rPr>
              <w:t xml:space="preserve">Unstructured natural-language inter-agent communication; no typed shared state</w:t>
            </w:r>
          </w:p>
        </w:tc>
      </w:tr>
      <w:tr>
        <w:tc>
          <w:tcPr>
            <w:tcW w:type="dxa" w:w="1100"/>
            <w:shd w:fill="EBF3FB" w:color="auto" w:val="clear"/>
            <w:tcMar>
              <w:top w:type="dxa" w:w="80"/>
              <w:left w:type="dxa" w:w="100"/>
              <w:bottom w:type="dxa" w:w="80"/>
              <w:right w:type="dxa" w:w="100"/>
            </w:tcMar>
          </w:tcPr>
          <w:p>
            <w:pPr>
              <w:spacing w:after="60" w:before="60"/>
            </w:pPr>
            <w:r>
              <w:rPr>
                <w:rFonts w:ascii="Times New Roman" w:cs="Times New Roman" w:eastAsia="Times New Roman" w:hAnsi="Times New Roman"/>
                <w:sz w:val="18"/>
                <w:szCs w:val="18"/>
              </w:rPr>
              <w:t xml:space="preserve">Liu et al. (2024)</w:t>
            </w:r>
          </w:p>
        </w:tc>
        <w:tc>
          <w:tcPr>
            <w:tcW w:type="dxa" w:w="1900"/>
            <w:shd w:fill="EBF3FB" w:color="auto" w:val="clear"/>
            <w:tcMar>
              <w:top w:type="dxa" w:w="80"/>
              <w:left w:type="dxa" w:w="100"/>
              <w:bottom w:type="dxa" w:w="80"/>
              <w:right w:type="dxa" w:w="100"/>
            </w:tcMar>
          </w:tcPr>
          <w:p>
            <w:pPr>
              <w:spacing w:after="60" w:before="60"/>
            </w:pPr>
            <w:r>
              <w:rPr>
                <w:rFonts w:ascii="Times New Roman" w:cs="Times New Roman" w:eastAsia="Times New Roman" w:hAnsi="Times New Roman"/>
                <w:sz w:val="18"/>
                <w:szCs w:val="18"/>
              </w:rPr>
              <w:t xml:space="preserve">Lack of standardized multi-step agent evaluation</w:t>
            </w:r>
          </w:p>
        </w:tc>
        <w:tc>
          <w:tcPr>
            <w:tcW w:type="dxa" w:w="1900"/>
            <w:shd w:fill="EBF3FB" w:color="auto" w:val="clear"/>
            <w:tcMar>
              <w:top w:type="dxa" w:w="80"/>
              <w:left w:type="dxa" w:w="100"/>
              <w:bottom w:type="dxa" w:w="80"/>
              <w:right w:type="dxa" w:w="100"/>
            </w:tcMar>
          </w:tcPr>
          <w:p>
            <w:pPr>
              <w:spacing w:after="60" w:before="60"/>
            </w:pPr>
            <w:r>
              <w:rPr>
                <w:rFonts w:ascii="Times New Roman" w:cs="Times New Roman" w:eastAsia="Times New Roman" w:hAnsi="Times New Roman"/>
                <w:sz w:val="18"/>
                <w:szCs w:val="18"/>
              </w:rPr>
              <w:t xml:space="preserve">AgentBench: multi-environment evaluation suite for agent trajectories</w:t>
            </w:r>
          </w:p>
        </w:tc>
        <w:tc>
          <w:tcPr>
            <w:tcW w:type="dxa" w:w="2000"/>
            <w:shd w:fill="EBF3FB" w:color="auto" w:val="clear"/>
            <w:tcMar>
              <w:top w:type="dxa" w:w="80"/>
              <w:left w:type="dxa" w:w="100"/>
              <w:bottom w:type="dxa" w:w="80"/>
              <w:right w:type="dxa" w:w="100"/>
            </w:tcMar>
          </w:tcPr>
          <w:p>
            <w:pPr>
              <w:spacing w:after="60" w:before="60"/>
            </w:pPr>
            <w:r>
              <w:rPr>
                <w:rFonts w:ascii="Times New Roman" w:cs="Times New Roman" w:eastAsia="Times New Roman" w:hAnsi="Times New Roman"/>
                <w:sz w:val="18"/>
                <w:szCs w:val="18"/>
              </w:rPr>
              <w:t xml:space="preserve">Sharp performance degradation beyond 5-7 sequential actions</w:t>
            </w:r>
          </w:p>
        </w:tc>
        <w:tc>
          <w:tcPr>
            <w:tcW w:type="dxa" w:w="1900"/>
            <w:shd w:fill="EBF3FB" w:color="auto" w:val="clear"/>
            <w:tcMar>
              <w:top w:type="dxa" w:w="80"/>
              <w:left w:type="dxa" w:w="100"/>
              <w:bottom w:type="dxa" w:w="80"/>
              <w:right w:type="dxa" w:w="100"/>
            </w:tcMar>
          </w:tcPr>
          <w:p>
            <w:pPr>
              <w:spacing w:after="60" w:before="60"/>
            </w:pPr>
            <w:r>
              <w:rPr>
                <w:rFonts w:ascii="Times New Roman" w:cs="Times New Roman" w:eastAsia="Times New Roman" w:hAnsi="Times New Roman"/>
                <w:sz w:val="18"/>
                <w:szCs w:val="18"/>
              </w:rPr>
              <w:t xml:space="preserve">Long single-agent pipelines unreliable; motivates task decomposition not provided by benchmark</w:t>
            </w:r>
          </w:p>
        </w:tc>
      </w:tr>
      <w:tr>
        <w:tc>
          <w:tcPr>
            <w:tcW w:type="dxa" w:w="1100"/>
            <w:tcMar>
              <w:top w:type="dxa" w:w="80"/>
              <w:left w:type="dxa" w:w="100"/>
              <w:bottom w:type="dxa" w:w="80"/>
              <w:right w:type="dxa" w:w="100"/>
            </w:tcMar>
          </w:tcPr>
          <w:p>
            <w:pPr>
              <w:spacing w:after="60" w:before="60"/>
            </w:pPr>
            <w:r>
              <w:rPr>
                <w:rFonts w:ascii="Times New Roman" w:cs="Times New Roman" w:eastAsia="Times New Roman" w:hAnsi="Times New Roman"/>
                <w:sz w:val="18"/>
                <w:szCs w:val="18"/>
              </w:rPr>
              <w:t xml:space="preserve">Tang et al. (2024)</w:t>
            </w:r>
          </w:p>
        </w:tc>
        <w:tc>
          <w:tcPr>
            <w:tcW w:type="dxa" w:w="1900"/>
            <w:tcMar>
              <w:top w:type="dxa" w:w="80"/>
              <w:left w:type="dxa" w:w="100"/>
              <w:bottom w:type="dxa" w:w="80"/>
              <w:right w:type="dxa" w:w="100"/>
            </w:tcMar>
          </w:tcPr>
          <w:p>
            <w:pPr>
              <w:spacing w:after="60" w:before="60"/>
            </w:pPr>
            <w:r>
              <w:rPr>
                <w:rFonts w:ascii="Times New Roman" w:cs="Times New Roman" w:eastAsia="Times New Roman" w:hAnsi="Times New Roman"/>
                <w:sz w:val="18"/>
                <w:szCs w:val="18"/>
              </w:rPr>
              <w:t xml:space="preserve">Zero-shot medical reasoning via collaboration</w:t>
            </w:r>
          </w:p>
        </w:tc>
        <w:tc>
          <w:tcPr>
            <w:tcW w:type="dxa" w:w="1900"/>
            <w:tcMar>
              <w:top w:type="dxa" w:w="80"/>
              <w:left w:type="dxa" w:w="100"/>
              <w:bottom w:type="dxa" w:w="80"/>
              <w:right w:type="dxa" w:w="100"/>
            </w:tcMar>
          </w:tcPr>
          <w:p>
            <w:pPr>
              <w:spacing w:after="60" w:before="60"/>
            </w:pPr>
            <w:r>
              <w:rPr>
                <w:rFonts w:ascii="Times New Roman" w:cs="Times New Roman" w:eastAsia="Times New Roman" w:hAnsi="Times New Roman"/>
                <w:sz w:val="18"/>
                <w:szCs w:val="18"/>
              </w:rPr>
              <w:t xml:space="preserve">MedAgents: role-prompted persona discussion and structured synthesis</w:t>
            </w:r>
          </w:p>
        </w:tc>
        <w:tc>
          <w:tcPr>
            <w:tcW w:type="dxa" w:w="2000"/>
            <w:tcMar>
              <w:top w:type="dxa" w:w="80"/>
              <w:left w:type="dxa" w:w="100"/>
              <w:bottom w:type="dxa" w:w="80"/>
              <w:right w:type="dxa" w:w="100"/>
            </w:tcMar>
          </w:tcPr>
          <w:p>
            <w:pPr>
              <w:spacing w:after="60" w:before="60"/>
            </w:pPr>
            <w:r>
              <w:rPr>
                <w:rFonts w:ascii="Times New Roman" w:cs="Times New Roman" w:eastAsia="Times New Roman" w:hAnsi="Times New Roman"/>
                <w:sz w:val="18"/>
                <w:szCs w:val="18"/>
              </w:rPr>
              <w:t xml:space="preserve">Accuracy gains over single-agent prompting on medical QA benchmarks</w:t>
            </w:r>
          </w:p>
        </w:tc>
        <w:tc>
          <w:tcPr>
            <w:tcW w:type="dxa" w:w="1900"/>
            <w:tcMar>
              <w:top w:type="dxa" w:w="80"/>
              <w:left w:type="dxa" w:w="100"/>
              <w:bottom w:type="dxa" w:w="80"/>
              <w:right w:type="dxa" w:w="100"/>
            </w:tcMar>
          </w:tcPr>
          <w:p>
            <w:pPr>
              <w:spacing w:after="60" w:before="60"/>
            </w:pPr>
            <w:r>
              <w:rPr>
                <w:rFonts w:ascii="Times New Roman" w:cs="Times New Roman" w:eastAsia="Times New Roman" w:hAnsi="Times New Roman"/>
                <w:sz w:val="18"/>
                <w:szCs w:val="18"/>
              </w:rPr>
              <w:t xml:space="preserve">Agents are role-personas on static input; no retrieval, screening, or shared mutable state</w:t>
            </w:r>
          </w:p>
        </w:tc>
      </w:tr>
      <w:tr>
        <w:tc>
          <w:tcPr>
            <w:tcW w:type="dxa" w:w="1100"/>
            <w:shd w:fill="EBF3FB" w:color="auto" w:val="clear"/>
            <w:tcMar>
              <w:top w:type="dxa" w:w="80"/>
              <w:left w:type="dxa" w:w="100"/>
              <w:bottom w:type="dxa" w:w="80"/>
              <w:right w:type="dxa" w:w="100"/>
            </w:tcMar>
          </w:tcPr>
          <w:p>
            <w:pPr>
              <w:spacing w:after="60" w:before="60"/>
            </w:pPr>
            <w:r>
              <w:rPr>
                <w:rFonts w:ascii="Times New Roman" w:cs="Times New Roman" w:eastAsia="Times New Roman" w:hAnsi="Times New Roman"/>
                <w:sz w:val="18"/>
                <w:szCs w:val="18"/>
              </w:rPr>
              <w:t xml:space="preserve">Jin et al. (2024)</w:t>
            </w:r>
          </w:p>
        </w:tc>
        <w:tc>
          <w:tcPr>
            <w:tcW w:type="dxa" w:w="1900"/>
            <w:shd w:fill="EBF3FB" w:color="auto" w:val="clear"/>
            <w:tcMar>
              <w:top w:type="dxa" w:w="80"/>
              <w:left w:type="dxa" w:w="100"/>
              <w:bottom w:type="dxa" w:w="80"/>
              <w:right w:type="dxa" w:w="100"/>
            </w:tcMar>
          </w:tcPr>
          <w:p>
            <w:pPr>
              <w:spacing w:after="60" w:before="60"/>
            </w:pPr>
            <w:r>
              <w:rPr>
                <w:rFonts w:ascii="Times New Roman" w:cs="Times New Roman" w:eastAsia="Times New Roman" w:hAnsi="Times New Roman"/>
                <w:sz w:val="18"/>
                <w:szCs w:val="18"/>
              </w:rPr>
              <w:t xml:space="preserve">Evaluating literature-grounded factual alignment in biomedical QA</w:t>
            </w:r>
          </w:p>
        </w:tc>
        <w:tc>
          <w:tcPr>
            <w:tcW w:type="dxa" w:w="1900"/>
            <w:shd w:fill="EBF3FB" w:color="auto" w:val="clear"/>
            <w:tcMar>
              <w:top w:type="dxa" w:w="80"/>
              <w:left w:type="dxa" w:w="100"/>
              <w:bottom w:type="dxa" w:w="80"/>
              <w:right w:type="dxa" w:w="100"/>
            </w:tcMar>
          </w:tcPr>
          <w:p>
            <w:pPr>
              <w:spacing w:after="60" w:before="60"/>
            </w:pPr>
            <w:r>
              <w:rPr>
                <w:rFonts w:ascii="Times New Roman" w:cs="Times New Roman" w:eastAsia="Times New Roman" w:hAnsi="Times New Roman"/>
                <w:sz w:val="18"/>
                <w:szCs w:val="18"/>
              </w:rPr>
              <w:t xml:space="preserve">Extended PubMedQA reference-answer evaluation framework</w:t>
            </w:r>
          </w:p>
        </w:tc>
        <w:tc>
          <w:tcPr>
            <w:tcW w:type="dxa" w:w="2000"/>
            <w:shd w:fill="EBF3FB" w:color="auto" w:val="clear"/>
            <w:tcMar>
              <w:top w:type="dxa" w:w="80"/>
              <w:left w:type="dxa" w:w="100"/>
              <w:bottom w:type="dxa" w:w="80"/>
              <w:right w:type="dxa" w:w="100"/>
            </w:tcMar>
          </w:tcPr>
          <w:p>
            <w:pPr>
              <w:spacing w:after="60" w:before="60"/>
            </w:pPr>
            <w:r>
              <w:rPr>
                <w:rFonts w:ascii="Times New Roman" w:cs="Times New Roman" w:eastAsia="Times New Roman" w:hAnsi="Times New Roman"/>
                <w:sz w:val="18"/>
                <w:szCs w:val="18"/>
              </w:rPr>
              <w:t xml:space="preserve">Quantified gap between parametric knowledge and literature-grounded answers</w:t>
            </w:r>
          </w:p>
        </w:tc>
        <w:tc>
          <w:tcPr>
            <w:tcW w:type="dxa" w:w="1900"/>
            <w:shd w:fill="EBF3FB" w:color="auto" w:val="clear"/>
            <w:tcMar>
              <w:top w:type="dxa" w:w="80"/>
              <w:left w:type="dxa" w:w="100"/>
              <w:bottom w:type="dxa" w:w="80"/>
              <w:right w:type="dxa" w:w="100"/>
            </w:tcMar>
          </w:tcPr>
          <w:p>
            <w:pPr>
              <w:spacing w:after="60" w:before="60"/>
            </w:pPr>
            <w:r>
              <w:rPr>
                <w:rFonts w:ascii="Times New Roman" w:cs="Times New Roman" w:eastAsia="Times New Roman" w:hAnsi="Times New Roman"/>
                <w:sz w:val="18"/>
                <w:szCs w:val="18"/>
              </w:rPr>
              <w:t xml:space="preserve">Purely evaluative; no architectural mechanism to close the grounding gap</w:t>
            </w:r>
          </w:p>
        </w:tc>
      </w:tr>
      <w:tr>
        <w:tc>
          <w:tcPr>
            <w:tcW w:type="dxa" w:w="1100"/>
            <w:tcMar>
              <w:top w:type="dxa" w:w="80"/>
              <w:left w:type="dxa" w:w="100"/>
              <w:bottom w:type="dxa" w:w="80"/>
              <w:right w:type="dxa" w:w="100"/>
            </w:tcMar>
          </w:tcPr>
          <w:p>
            <w:pPr>
              <w:spacing w:after="60" w:before="60"/>
            </w:pPr>
            <w:r>
              <w:rPr>
                <w:rFonts w:ascii="Times New Roman" w:cs="Times New Roman" w:eastAsia="Times New Roman" w:hAnsi="Times New Roman"/>
                <w:sz w:val="18"/>
                <w:szCs w:val="18"/>
              </w:rPr>
              <w:t xml:space="preserve">Acharya, Kuppan &amp; Divya (2025)</w:t>
            </w:r>
          </w:p>
        </w:tc>
        <w:tc>
          <w:tcPr>
            <w:tcW w:type="dxa" w:w="1900"/>
            <w:tcMar>
              <w:top w:type="dxa" w:w="80"/>
              <w:left w:type="dxa" w:w="100"/>
              <w:bottom w:type="dxa" w:w="80"/>
              <w:right w:type="dxa" w:w="100"/>
            </w:tcMar>
          </w:tcPr>
          <w:p>
            <w:pPr>
              <w:spacing w:after="60" w:before="60"/>
            </w:pPr>
            <w:r>
              <w:rPr>
                <w:rFonts w:ascii="Times New Roman" w:cs="Times New Roman" w:eastAsia="Times New Roman" w:hAnsi="Times New Roman"/>
                <w:sz w:val="18"/>
                <w:szCs w:val="18"/>
              </w:rPr>
              <w:t xml:space="preserve">No unifying definition of agentic AI systems</w:t>
            </w:r>
          </w:p>
        </w:tc>
        <w:tc>
          <w:tcPr>
            <w:tcW w:type="dxa" w:w="1900"/>
            <w:tcMar>
              <w:top w:type="dxa" w:w="80"/>
              <w:left w:type="dxa" w:w="100"/>
              <w:bottom w:type="dxa" w:w="80"/>
              <w:right w:type="dxa" w:w="100"/>
            </w:tcMar>
          </w:tcPr>
          <w:p>
            <w:pPr>
              <w:spacing w:after="60" w:before="60"/>
            </w:pPr>
            <w:r>
              <w:rPr>
                <w:rFonts w:ascii="Times New Roman" w:cs="Times New Roman" w:eastAsia="Times New Roman" w:hAnsi="Times New Roman"/>
                <w:sz w:val="18"/>
                <w:szCs w:val="18"/>
              </w:rPr>
              <w:t xml:space="preserve">Cross-domain survey deriving operational taxonomy</w:t>
            </w:r>
          </w:p>
        </w:tc>
        <w:tc>
          <w:tcPr>
            <w:tcW w:type="dxa" w:w="2000"/>
            <w:tcMar>
              <w:top w:type="dxa" w:w="80"/>
              <w:left w:type="dxa" w:w="100"/>
              <w:bottom w:type="dxa" w:w="80"/>
              <w:right w:type="dxa" w:w="100"/>
            </w:tcMar>
          </w:tcPr>
          <w:p>
            <w:pPr>
              <w:spacing w:after="60" w:before="60"/>
            </w:pPr>
            <w:r>
              <w:rPr>
                <w:rFonts w:ascii="Times New Roman" w:cs="Times New Roman" w:eastAsia="Times New Roman" w:hAnsi="Times New Roman"/>
                <w:sz w:val="18"/>
                <w:szCs w:val="18"/>
              </w:rPr>
              <w:t xml:space="preserve">Established measurable taxonomy of agentic properties</w:t>
            </w:r>
          </w:p>
        </w:tc>
        <w:tc>
          <w:tcPr>
            <w:tcW w:type="dxa" w:w="1900"/>
            <w:tcMar>
              <w:top w:type="dxa" w:w="80"/>
              <w:left w:type="dxa" w:w="100"/>
              <w:bottom w:type="dxa" w:w="80"/>
              <w:right w:type="dxa" w:w="100"/>
            </w:tcMar>
          </w:tcPr>
          <w:p>
            <w:pPr>
              <w:spacing w:after="60" w:before="60"/>
            </w:pPr>
            <w:r>
              <w:rPr>
                <w:rFonts w:ascii="Times New Roman" w:cs="Times New Roman" w:eastAsia="Times New Roman" w:hAnsi="Times New Roman"/>
                <w:sz w:val="18"/>
                <w:szCs w:val="18"/>
              </w:rPr>
              <w:t xml:space="preserve">Descriptive only; not instantiated for any knowledge-intensive task domain</w:t>
            </w:r>
          </w:p>
        </w:tc>
      </w:tr>
      <w:tr>
        <w:tc>
          <w:tcPr>
            <w:tcW w:type="dxa" w:w="1100"/>
            <w:shd w:fill="EBF3FB" w:color="auto" w:val="clear"/>
            <w:tcMar>
              <w:top w:type="dxa" w:w="80"/>
              <w:left w:type="dxa" w:w="100"/>
              <w:bottom w:type="dxa" w:w="80"/>
              <w:right w:type="dxa" w:w="100"/>
            </w:tcMar>
          </w:tcPr>
          <w:p>
            <w:pPr>
              <w:spacing w:after="60" w:before="60"/>
            </w:pPr>
            <w:r>
              <w:rPr>
                <w:rFonts w:ascii="Times New Roman" w:cs="Times New Roman" w:eastAsia="Times New Roman" w:hAnsi="Times New Roman"/>
                <w:sz w:val="18"/>
                <w:szCs w:val="18"/>
              </w:rPr>
              <w:t xml:space="preserve">LangChain AI (2025)</w:t>
            </w:r>
          </w:p>
        </w:tc>
        <w:tc>
          <w:tcPr>
            <w:tcW w:type="dxa" w:w="1900"/>
            <w:shd w:fill="EBF3FB" w:color="auto" w:val="clear"/>
            <w:tcMar>
              <w:top w:type="dxa" w:w="80"/>
              <w:left w:type="dxa" w:w="100"/>
              <w:bottom w:type="dxa" w:w="80"/>
              <w:right w:type="dxa" w:w="100"/>
            </w:tcMar>
          </w:tcPr>
          <w:p>
            <w:pPr>
              <w:spacing w:after="60" w:before="60"/>
            </w:pPr>
            <w:r>
              <w:rPr>
                <w:rFonts w:ascii="Times New Roman" w:cs="Times New Roman" w:eastAsia="Times New Roman" w:hAnsi="Times New Roman"/>
                <w:sz w:val="18"/>
                <w:szCs w:val="18"/>
              </w:rPr>
              <w:t xml:space="preserve">Building stateful, interruptible multi-actor LLM applications</w:t>
            </w:r>
          </w:p>
        </w:tc>
        <w:tc>
          <w:tcPr>
            <w:tcW w:type="dxa" w:w="1900"/>
            <w:shd w:fill="EBF3FB" w:color="auto" w:val="clear"/>
            <w:tcMar>
              <w:top w:type="dxa" w:w="80"/>
              <w:left w:type="dxa" w:w="100"/>
              <w:bottom w:type="dxa" w:w="80"/>
              <w:right w:type="dxa" w:w="100"/>
            </w:tcMar>
          </w:tcPr>
          <w:p>
            <w:pPr>
              <w:spacing w:after="60" w:before="60"/>
            </w:pPr>
            <w:r>
              <w:rPr>
                <w:rFonts w:ascii="Times New Roman" w:cs="Times New Roman" w:eastAsia="Times New Roman" w:hAnsi="Times New Roman"/>
                <w:sz w:val="18"/>
                <w:szCs w:val="18"/>
              </w:rPr>
              <w:t xml:space="preserve">LangGraph: graph-based orchestration with typed state and checkpointing</w:t>
            </w:r>
          </w:p>
        </w:tc>
        <w:tc>
          <w:tcPr>
            <w:tcW w:type="dxa" w:w="2000"/>
            <w:shd w:fill="EBF3FB" w:color="auto" w:val="clear"/>
            <w:tcMar>
              <w:top w:type="dxa" w:w="80"/>
              <w:left w:type="dxa" w:w="100"/>
              <w:bottom w:type="dxa" w:w="80"/>
              <w:right w:type="dxa" w:w="100"/>
            </w:tcMar>
          </w:tcPr>
          <w:p>
            <w:pPr>
              <w:spacing w:after="60" w:before="60"/>
            </w:pPr>
            <w:r>
              <w:rPr>
                <w:rFonts w:ascii="Times New Roman" w:cs="Times New Roman" w:eastAsia="Times New Roman" w:hAnsi="Times New Roman"/>
                <w:sz w:val="18"/>
                <w:szCs w:val="18"/>
              </w:rPr>
              <w:t xml:space="preserve">Production-grade substrate resolving context fragmentation</w:t>
            </w:r>
          </w:p>
        </w:tc>
        <w:tc>
          <w:tcPr>
            <w:tcW w:type="dxa" w:w="1900"/>
            <w:shd w:fill="EBF3FB" w:color="auto" w:val="clear"/>
            <w:tcMar>
              <w:top w:type="dxa" w:w="80"/>
              <w:left w:type="dxa" w:w="100"/>
              <w:bottom w:type="dxa" w:w="80"/>
              <w:right w:type="dxa" w:w="100"/>
            </w:tcMar>
          </w:tcPr>
          <w:p>
            <w:pPr>
              <w:spacing w:after="60" w:before="60"/>
            </w:pPr>
            <w:r>
              <w:rPr>
                <w:rFonts w:ascii="Times New Roman" w:cs="Times New Roman" w:eastAsia="Times New Roman" w:hAnsi="Times New Roman"/>
                <w:sz w:val="18"/>
                <w:szCs w:val="18"/>
              </w:rPr>
              <w:t xml:space="preserve">Domain-agnostic infrastructure; no pre-built roles or schema for literature review</w:t>
            </w:r>
          </w:p>
        </w:tc>
      </w:tr>
      <w:tr>
        <w:tc>
          <w:tcPr>
            <w:tcW w:type="dxa" w:w="1100"/>
            <w:tcMar>
              <w:top w:type="dxa" w:w="80"/>
              <w:left w:type="dxa" w:w="100"/>
              <w:bottom w:type="dxa" w:w="80"/>
              <w:right w:type="dxa" w:w="100"/>
            </w:tcMar>
          </w:tcPr>
          <w:p>
            <w:pPr>
              <w:spacing w:after="60" w:before="60"/>
            </w:pPr>
            <w:r>
              <w:rPr>
                <w:rFonts w:ascii="Times New Roman" w:cs="Times New Roman" w:eastAsia="Times New Roman" w:hAnsi="Times New Roman"/>
                <w:sz w:val="18"/>
                <w:szCs w:val="18"/>
              </w:rPr>
              <w:t xml:space="preserve">Karunayake (2025)</w:t>
            </w:r>
          </w:p>
        </w:tc>
        <w:tc>
          <w:tcPr>
            <w:tcW w:type="dxa" w:w="1900"/>
            <w:tcMar>
              <w:top w:type="dxa" w:w="80"/>
              <w:left w:type="dxa" w:w="100"/>
              <w:bottom w:type="dxa" w:w="80"/>
              <w:right w:type="dxa" w:w="100"/>
            </w:tcMar>
          </w:tcPr>
          <w:p>
            <w:pPr>
              <w:spacing w:after="60" w:before="60"/>
            </w:pPr>
            <w:r>
              <w:rPr>
                <w:rFonts w:ascii="Times New Roman" w:cs="Times New Roman" w:eastAsia="Times New Roman" w:hAnsi="Times New Roman"/>
                <w:sz w:val="18"/>
                <w:szCs w:val="18"/>
              </w:rPr>
              <w:t xml:space="preserve">Integrating agentic AI into healthcare workflows</w:t>
            </w:r>
          </w:p>
        </w:tc>
        <w:tc>
          <w:tcPr>
            <w:tcW w:type="dxa" w:w="1900"/>
            <w:tcMar>
              <w:top w:type="dxa" w:w="80"/>
              <w:left w:type="dxa" w:w="100"/>
              <w:bottom w:type="dxa" w:w="80"/>
              <w:right w:type="dxa" w:w="100"/>
            </w:tcMar>
          </w:tcPr>
          <w:p>
            <w:pPr>
              <w:spacing w:after="60" w:before="60"/>
            </w:pPr>
            <w:r>
              <w:rPr>
                <w:rFonts w:ascii="Times New Roman" w:cs="Times New Roman" w:eastAsia="Times New Roman" w:hAnsi="Times New Roman"/>
                <w:sz w:val="18"/>
                <w:szCs w:val="18"/>
              </w:rPr>
              <w:t xml:space="preserve">Conceptual architecture mapping agent roles to clinical workflows</w:t>
            </w:r>
          </w:p>
        </w:tc>
        <w:tc>
          <w:tcPr>
            <w:tcW w:type="dxa" w:w="2000"/>
            <w:tcMar>
              <w:top w:type="dxa" w:w="80"/>
              <w:left w:type="dxa" w:w="100"/>
              <w:bottom w:type="dxa" w:w="80"/>
              <w:right w:type="dxa" w:w="100"/>
            </w:tcMar>
          </w:tcPr>
          <w:p>
            <w:pPr>
              <w:spacing w:after="60" w:before="60"/>
            </w:pPr>
            <w:r>
              <w:rPr>
                <w:rFonts w:ascii="Times New Roman" w:cs="Times New Roman" w:eastAsia="Times New Roman" w:hAnsi="Times New Roman"/>
                <w:sz w:val="18"/>
                <w:szCs w:val="18"/>
              </w:rPr>
              <w:t xml:space="preserve">Design principles for human-in-the-loop integration in high-stakes settings</w:t>
            </w:r>
          </w:p>
        </w:tc>
        <w:tc>
          <w:tcPr>
            <w:tcW w:type="dxa" w:w="1900"/>
            <w:tcMar>
              <w:top w:type="dxa" w:w="80"/>
              <w:left w:type="dxa" w:w="100"/>
              <w:bottom w:type="dxa" w:w="80"/>
              <w:right w:type="dxa" w:w="100"/>
            </w:tcMar>
          </w:tcPr>
          <w:p>
            <w:pPr>
              <w:spacing w:after="60" w:before="60"/>
            </w:pPr>
            <w:r>
              <w:rPr>
                <w:rFonts w:ascii="Times New Roman" w:cs="Times New Roman" w:eastAsia="Times New Roman" w:hAnsi="Times New Roman"/>
                <w:sz w:val="18"/>
                <w:szCs w:val="18"/>
              </w:rPr>
              <w:t xml:space="preserve">Largely conceptual; no quantitative evaluation; does not address literature synthesis</w:t>
            </w:r>
          </w:p>
        </w:tc>
      </w:tr>
      <w:tr>
        <w:tc>
          <w:tcPr>
            <w:tcW w:type="dxa" w:w="1100"/>
            <w:shd w:fill="EBF3FB" w:color="auto" w:val="clear"/>
            <w:tcMar>
              <w:top w:type="dxa" w:w="80"/>
              <w:left w:type="dxa" w:w="100"/>
              <w:bottom w:type="dxa" w:w="80"/>
              <w:right w:type="dxa" w:w="100"/>
            </w:tcMar>
          </w:tcPr>
          <w:p>
            <w:pPr>
              <w:spacing w:after="60" w:before="60"/>
            </w:pPr>
            <w:r>
              <w:rPr>
                <w:rFonts w:ascii="Times New Roman" w:cs="Times New Roman" w:eastAsia="Times New Roman" w:hAnsi="Times New Roman"/>
                <w:sz w:val="18"/>
                <w:szCs w:val="18"/>
              </w:rPr>
              <w:t xml:space="preserve">Hosseini &amp; Seilani (2025)</w:t>
            </w:r>
          </w:p>
        </w:tc>
        <w:tc>
          <w:tcPr>
            <w:tcW w:type="dxa" w:w="1900"/>
            <w:shd w:fill="EBF3FB" w:color="auto" w:val="clear"/>
            <w:tcMar>
              <w:top w:type="dxa" w:w="80"/>
              <w:left w:type="dxa" w:w="100"/>
              <w:bottom w:type="dxa" w:w="80"/>
              <w:right w:type="dxa" w:w="100"/>
            </w:tcMar>
          </w:tcPr>
          <w:p>
            <w:pPr>
              <w:spacing w:after="60" w:before="60"/>
            </w:pPr>
            <w:r>
              <w:rPr>
                <w:rFonts w:ascii="Times New Roman" w:cs="Times New Roman" w:eastAsia="Times New Roman" w:hAnsi="Times New Roman"/>
                <w:sz w:val="18"/>
                <w:szCs w:val="18"/>
              </w:rPr>
              <w:t xml:space="preserve">Mapping agentic AI adoption across knowledge-work sectors</w:t>
            </w:r>
          </w:p>
        </w:tc>
        <w:tc>
          <w:tcPr>
            <w:tcW w:type="dxa" w:w="1900"/>
            <w:shd w:fill="EBF3FB" w:color="auto" w:val="clear"/>
            <w:tcMar>
              <w:top w:type="dxa" w:w="80"/>
              <w:left w:type="dxa" w:w="100"/>
              <w:bottom w:type="dxa" w:w="80"/>
              <w:right w:type="dxa" w:w="100"/>
            </w:tcMar>
          </w:tcPr>
          <w:p>
            <w:pPr>
              <w:spacing w:after="60" w:before="60"/>
            </w:pPr>
            <w:r>
              <w:rPr>
                <w:rFonts w:ascii="Times New Roman" w:cs="Times New Roman" w:eastAsia="Times New Roman" w:hAnsi="Times New Roman"/>
                <w:sz w:val="18"/>
                <w:szCs w:val="18"/>
              </w:rPr>
              <w:t xml:space="preserve">Systematic review categorizing case studies by autonomy and task complexity</w:t>
            </w:r>
          </w:p>
        </w:tc>
        <w:tc>
          <w:tcPr>
            <w:tcW w:type="dxa" w:w="2000"/>
            <w:shd w:fill="EBF3FB" w:color="auto" w:val="clear"/>
            <w:tcMar>
              <w:top w:type="dxa" w:w="80"/>
              <w:left w:type="dxa" w:w="100"/>
              <w:bottom w:type="dxa" w:w="80"/>
              <w:right w:type="dxa" w:w="100"/>
            </w:tcMar>
          </w:tcPr>
          <w:p>
            <w:pPr>
              <w:spacing w:after="60" w:before="60"/>
            </w:pPr>
            <w:r>
              <w:rPr>
                <w:rFonts w:ascii="Times New Roman" w:cs="Times New Roman" w:eastAsia="Times New Roman" w:hAnsi="Times New Roman"/>
                <w:sz w:val="18"/>
                <w:szCs w:val="18"/>
              </w:rPr>
              <w:t xml:space="preserve">Identified literature/research synthesis as high-potential but underexplored</w:t>
            </w:r>
          </w:p>
        </w:tc>
        <w:tc>
          <w:tcPr>
            <w:tcW w:type="dxa" w:w="1900"/>
            <w:shd w:fill="EBF3FB" w:color="auto" w:val="clear"/>
            <w:tcMar>
              <w:top w:type="dxa" w:w="80"/>
              <w:left w:type="dxa" w:w="100"/>
              <w:bottom w:type="dxa" w:w="80"/>
              <w:right w:type="dxa" w:w="100"/>
            </w:tcMar>
          </w:tcPr>
          <w:p>
            <w:pPr>
              <w:spacing w:after="60" w:before="60"/>
            </w:pPr>
            <w:r>
              <w:rPr>
                <w:rFonts w:ascii="Times New Roman" w:cs="Times New Roman" w:eastAsia="Times New Roman" w:hAnsi="Times New Roman"/>
                <w:sz w:val="18"/>
                <w:szCs w:val="18"/>
              </w:rPr>
              <w:t xml:space="preserve">Identifies the gap without proposing or evaluating an architecture</w:t>
            </w:r>
          </w:p>
        </w:tc>
      </w:tr>
      <w:tr>
        <w:tc>
          <w:tcPr>
            <w:tcW w:type="dxa" w:w="1100"/>
            <w:tcMar>
              <w:top w:type="dxa" w:w="80"/>
              <w:left w:type="dxa" w:w="100"/>
              <w:bottom w:type="dxa" w:w="80"/>
              <w:right w:type="dxa" w:w="100"/>
            </w:tcMar>
          </w:tcPr>
          <w:p>
            <w:pPr>
              <w:spacing w:after="60" w:before="60"/>
            </w:pPr>
            <w:r>
              <w:rPr>
                <w:rFonts w:ascii="Times New Roman" w:cs="Times New Roman" w:eastAsia="Times New Roman" w:hAnsi="Times New Roman"/>
                <w:sz w:val="18"/>
                <w:szCs w:val="18"/>
              </w:rPr>
              <w:t xml:space="preserve">Schmidgall et al. (2025)</w:t>
            </w:r>
          </w:p>
        </w:tc>
        <w:tc>
          <w:tcPr>
            <w:tcW w:type="dxa" w:w="1900"/>
            <w:tcMar>
              <w:top w:type="dxa" w:w="80"/>
              <w:left w:type="dxa" w:w="100"/>
              <w:bottom w:type="dxa" w:w="80"/>
              <w:right w:type="dxa" w:w="100"/>
            </w:tcMar>
          </w:tcPr>
          <w:p>
            <w:pPr>
              <w:spacing w:after="60" w:before="60"/>
            </w:pPr>
            <w:r>
              <w:rPr>
                <w:rFonts w:ascii="Times New Roman" w:cs="Times New Roman" w:eastAsia="Times New Roman" w:hAnsi="Times New Roman"/>
                <w:sz w:val="18"/>
                <w:szCs w:val="18"/>
              </w:rPr>
              <w:t xml:space="preserve">Evaluating multi-agent collaboration in simulated clinical environments</w:t>
            </w:r>
          </w:p>
        </w:tc>
        <w:tc>
          <w:tcPr>
            <w:tcW w:type="dxa" w:w="1900"/>
            <w:tcMar>
              <w:top w:type="dxa" w:w="80"/>
              <w:left w:type="dxa" w:w="100"/>
              <w:bottom w:type="dxa" w:w="80"/>
              <w:right w:type="dxa" w:w="100"/>
            </w:tcMar>
          </w:tcPr>
          <w:p>
            <w:pPr>
              <w:spacing w:after="60" w:before="60"/>
            </w:pPr>
            <w:r>
              <w:rPr>
                <w:rFonts w:ascii="Times New Roman" w:cs="Times New Roman" w:eastAsia="Times New Roman" w:hAnsi="Times New Roman"/>
                <w:sz w:val="18"/>
                <w:szCs w:val="18"/>
              </w:rPr>
              <w:t xml:space="preserve">AgentClinic: multi-turn simulated diagnostic environments with persona agents</w:t>
            </w:r>
          </w:p>
        </w:tc>
        <w:tc>
          <w:tcPr>
            <w:tcW w:type="dxa" w:w="2000"/>
            <w:tcMar>
              <w:top w:type="dxa" w:w="80"/>
              <w:left w:type="dxa" w:w="100"/>
              <w:bottom w:type="dxa" w:w="80"/>
              <w:right w:type="dxa" w:w="100"/>
            </w:tcMar>
          </w:tcPr>
          <w:p>
            <w:pPr>
              <w:spacing w:after="60" w:before="60"/>
            </w:pPr>
            <w:r>
              <w:rPr>
                <w:rFonts w:ascii="Times New Roman" w:cs="Times New Roman" w:eastAsia="Times New Roman" w:hAnsi="Times New Roman"/>
                <w:sz w:val="18"/>
                <w:szCs w:val="18"/>
              </w:rPr>
              <w:t xml:space="preserve">Structured inter-agent communication outperformed free-form dialogue</w:t>
            </w:r>
          </w:p>
        </w:tc>
        <w:tc>
          <w:tcPr>
            <w:tcW w:type="dxa" w:w="1900"/>
            <w:tcMar>
              <w:top w:type="dxa" w:w="80"/>
              <w:left w:type="dxa" w:w="100"/>
              <w:bottom w:type="dxa" w:w="80"/>
              <w:right w:type="dxa" w:w="100"/>
            </w:tcMar>
          </w:tcPr>
          <w:p>
            <w:pPr>
              <w:spacing w:after="60" w:before="60"/>
            </w:pPr>
            <w:r>
              <w:rPr>
                <w:rFonts w:ascii="Times New Roman" w:cs="Times New Roman" w:eastAsia="Times New Roman" w:hAnsi="Times New Roman"/>
                <w:sz w:val="18"/>
                <w:szCs w:val="18"/>
              </w:rPr>
              <w:t xml:space="preserve">Simulation-internal; no external literature retrieval or synthesis</w:t>
            </w:r>
          </w:p>
        </w:tc>
      </w:tr>
      <w:tr>
        <w:tc>
          <w:tcPr>
            <w:tcW w:type="dxa" w:w="1100"/>
            <w:shd w:fill="EBF3FB" w:color="auto" w:val="clear"/>
            <w:tcMar>
              <w:top w:type="dxa" w:w="80"/>
              <w:left w:type="dxa" w:w="100"/>
              <w:bottom w:type="dxa" w:w="80"/>
              <w:right w:type="dxa" w:w="100"/>
            </w:tcMar>
          </w:tcPr>
          <w:p>
            <w:pPr>
              <w:spacing w:after="60" w:before="60"/>
            </w:pPr>
            <w:r>
              <w:rPr>
                <w:rFonts w:ascii="Times New Roman" w:cs="Times New Roman" w:eastAsia="Times New Roman" w:hAnsi="Times New Roman"/>
                <w:sz w:val="18"/>
                <w:szCs w:val="18"/>
              </w:rPr>
              <w:t xml:space="preserve">Moralles et al. (2026)</w:t>
            </w:r>
          </w:p>
        </w:tc>
        <w:tc>
          <w:tcPr>
            <w:tcW w:type="dxa" w:w="1900"/>
            <w:shd w:fill="EBF3FB" w:color="auto" w:val="clear"/>
            <w:tcMar>
              <w:top w:type="dxa" w:w="80"/>
              <w:left w:type="dxa" w:w="100"/>
              <w:bottom w:type="dxa" w:w="80"/>
              <w:right w:type="dxa" w:w="100"/>
            </w:tcMar>
          </w:tcPr>
          <w:p>
            <w:pPr>
              <w:spacing w:after="60" w:before="60"/>
            </w:pPr>
            <w:r>
              <w:rPr>
                <w:rFonts w:ascii="Times New Roman" w:cs="Times New Roman" w:eastAsia="Times New Roman" w:hAnsi="Times New Roman"/>
                <w:sz w:val="18"/>
                <w:szCs w:val="18"/>
              </w:rPr>
              <w:t xml:space="preserve">Lack of consolidated reference on agentic AI architectures</w:t>
            </w:r>
          </w:p>
        </w:tc>
        <w:tc>
          <w:tcPr>
            <w:tcW w:type="dxa" w:w="1900"/>
            <w:shd w:fill="EBF3FB" w:color="auto" w:val="clear"/>
            <w:tcMar>
              <w:top w:type="dxa" w:w="80"/>
              <w:left w:type="dxa" w:w="100"/>
              <w:bottom w:type="dxa" w:w="80"/>
              <w:right w:type="dxa" w:w="100"/>
            </w:tcMar>
          </w:tcPr>
          <w:p>
            <w:pPr>
              <w:spacing w:after="60" w:before="60"/>
            </w:pPr>
            <w:r>
              <w:rPr>
                <w:rFonts w:ascii="Times New Roman" w:cs="Times New Roman" w:eastAsia="Times New Roman" w:hAnsi="Times New Roman"/>
                <w:sz w:val="18"/>
                <w:szCs w:val="18"/>
              </w:rPr>
              <w:t xml:space="preserve">Manual systematic literature review with structured screening and taxonomy extraction</w:t>
            </w:r>
          </w:p>
        </w:tc>
        <w:tc>
          <w:tcPr>
            <w:tcW w:type="dxa" w:w="2000"/>
            <w:shd w:fill="EBF3FB" w:color="auto" w:val="clear"/>
            <w:tcMar>
              <w:top w:type="dxa" w:w="80"/>
              <w:left w:type="dxa" w:w="100"/>
              <w:bottom w:type="dxa" w:w="80"/>
              <w:right w:type="dxa" w:w="100"/>
            </w:tcMar>
          </w:tcPr>
          <w:p>
            <w:pPr>
              <w:spacing w:after="60" w:before="60"/>
            </w:pPr>
            <w:r>
              <w:rPr>
                <w:rFonts w:ascii="Times New Roman" w:cs="Times New Roman" w:eastAsia="Times New Roman" w:hAnsi="Times New Roman"/>
                <w:sz w:val="18"/>
                <w:szCs w:val="18"/>
              </w:rPr>
              <w:t xml:space="preserve">Taxonomy of architectural motifs and open challenges</w:t>
            </w:r>
          </w:p>
        </w:tc>
        <w:tc>
          <w:tcPr>
            <w:tcW w:type="dxa" w:w="1900"/>
            <w:shd w:fill="EBF3FB" w:color="auto" w:val="clear"/>
            <w:tcMar>
              <w:top w:type="dxa" w:w="80"/>
              <w:left w:type="dxa" w:w="100"/>
              <w:bottom w:type="dxa" w:w="80"/>
              <w:right w:type="dxa" w:w="100"/>
            </w:tcMar>
          </w:tcPr>
          <w:p>
            <w:pPr>
              <w:spacing w:after="60" w:before="60"/>
            </w:pPr>
            <w:r>
              <w:rPr>
                <w:rFonts w:ascii="Times New Roman" w:cs="Times New Roman" w:eastAsia="Times New Roman" w:hAnsi="Times New Roman"/>
                <w:sz w:val="18"/>
                <w:szCs w:val="18"/>
              </w:rPr>
              <w:t xml:space="preserve">Manual review process itself unsustainable — the problem this paper automates</w:t>
            </w:r>
          </w:p>
        </w:tc>
      </w:tr>
      <w:tr>
        <w:tc>
          <w:tcPr>
            <w:tcW w:type="dxa" w:w="1100"/>
            <w:tcMar>
              <w:top w:type="dxa" w:w="80"/>
              <w:left w:type="dxa" w:w="100"/>
              <w:bottom w:type="dxa" w:w="80"/>
              <w:right w:type="dxa" w:w="100"/>
            </w:tcMar>
          </w:tcPr>
          <w:p>
            <w:pPr>
              <w:spacing w:after="60" w:before="60"/>
            </w:pPr>
            <w:r>
              <w:rPr>
                <w:rFonts w:ascii="Times New Roman" w:cs="Times New Roman" w:eastAsia="Times New Roman" w:hAnsi="Times New Roman"/>
                <w:sz w:val="18"/>
                <w:szCs w:val="18"/>
              </w:rPr>
              <w:t xml:space="preserve">MedGraph (2026)</w:t>
            </w:r>
          </w:p>
        </w:tc>
        <w:tc>
          <w:tcPr>
            <w:tcW w:type="dxa" w:w="1900"/>
            <w:tcMar>
              <w:top w:type="dxa" w:w="80"/>
              <w:left w:type="dxa" w:w="100"/>
              <w:bottom w:type="dxa" w:w="80"/>
              <w:right w:type="dxa" w:w="100"/>
            </w:tcMar>
          </w:tcPr>
          <w:p>
            <w:pPr>
              <w:spacing w:after="60" w:before="60"/>
            </w:pPr>
            <w:r>
              <w:rPr>
                <w:rFonts w:ascii="Times New Roman" w:cs="Times New Roman" w:eastAsia="Times New Roman" w:hAnsi="Times New Roman"/>
                <w:sz w:val="18"/>
                <w:szCs w:val="18"/>
              </w:rPr>
              <w:t xml:space="preserve">Automated biomedical evidence synthesis from PubMed</w:t>
            </w:r>
          </w:p>
        </w:tc>
        <w:tc>
          <w:tcPr>
            <w:tcW w:type="dxa" w:w="1900"/>
            <w:tcMar>
              <w:top w:type="dxa" w:w="80"/>
              <w:left w:type="dxa" w:w="100"/>
              <w:bottom w:type="dxa" w:w="80"/>
              <w:right w:type="dxa" w:w="100"/>
            </w:tcMar>
          </w:tcPr>
          <w:p>
            <w:pPr>
              <w:spacing w:after="60" w:before="60"/>
            </w:pPr>
            <w:r>
              <w:rPr>
                <w:rFonts w:ascii="Times New Roman" w:cs="Times New Roman" w:eastAsia="Times New Roman" w:hAnsi="Times New Roman"/>
                <w:sz w:val="18"/>
                <w:szCs w:val="18"/>
              </w:rPr>
              <w:t xml:space="preserve">Four-node agentic graph: ReAct retrieval, LLM classification, HITL interrupt, tool dispatch</w:t>
            </w:r>
          </w:p>
        </w:tc>
        <w:tc>
          <w:tcPr>
            <w:tcW w:type="dxa" w:w="2000"/>
            <w:tcMar>
              <w:top w:type="dxa" w:w="80"/>
              <w:left w:type="dxa" w:w="100"/>
              <w:bottom w:type="dxa" w:w="80"/>
              <w:right w:type="dxa" w:w="100"/>
            </w:tcMar>
          </w:tcPr>
          <w:p>
            <w:pPr>
              <w:spacing w:after="60" w:before="60"/>
            </w:pPr>
            <w:r>
              <w:rPr>
                <w:rFonts w:ascii="Times New Roman" w:cs="Times New Roman" w:eastAsia="Times New Roman" w:hAnsi="Times New Roman"/>
                <w:sz w:val="18"/>
                <w:szCs w:val="18"/>
              </w:rPr>
              <w:t xml:space="preserve">~87% classification accuracy; full delivery success; ReAct outperformed direct-LLM retrieval</w:t>
            </w:r>
          </w:p>
        </w:tc>
        <w:tc>
          <w:tcPr>
            <w:tcW w:type="dxa" w:w="1900"/>
            <w:tcMar>
              <w:top w:type="dxa" w:w="80"/>
              <w:left w:type="dxa" w:w="100"/>
              <w:bottom w:type="dxa" w:w="80"/>
              <w:right w:type="dxa" w:w="100"/>
            </w:tcMar>
          </w:tcPr>
          <w:p>
            <w:pPr>
              <w:spacing w:after="60" w:before="60"/>
            </w:pPr>
            <w:r>
              <w:rPr>
                <w:rFonts w:ascii="Times New Roman" w:cs="Times New Roman" w:eastAsia="Times New Roman" w:hAnsi="Times New Roman"/>
                <w:sz w:val="18"/>
                <w:szCs w:val="18"/>
              </w:rPr>
              <w:t xml:space="preserve">Domain-scoped to biomedical email reports; no dynamic query-reformulation or draft-verification stage</w:t>
            </w:r>
          </w:p>
        </w:tc>
      </w:tr>
      <w:tr>
        <w:tc>
          <w:tcPr>
            <w:tcW w:type="dxa" w:w="1100"/>
            <w:shd w:fill="EBF3FB" w:color="auto" w:val="clear"/>
            <w:tcMar>
              <w:top w:type="dxa" w:w="80"/>
              <w:left w:type="dxa" w:w="100"/>
              <w:bottom w:type="dxa" w:w="80"/>
              <w:right w:type="dxa" w:w="100"/>
            </w:tcMar>
          </w:tcPr>
          <w:p>
            <w:pPr>
              <w:spacing w:after="60" w:before="60"/>
            </w:pPr>
            <w:r>
              <w:rPr>
                <w:rFonts w:ascii="Times New Roman" w:cs="Times New Roman" w:eastAsia="Times New Roman" w:hAnsi="Times New Roman"/>
                <w:sz w:val="18"/>
                <w:szCs w:val="18"/>
              </w:rPr>
              <w:t xml:space="preserve">Retrieval failure-mode analysis (2026)</w:t>
            </w:r>
          </w:p>
        </w:tc>
        <w:tc>
          <w:tcPr>
            <w:tcW w:type="dxa" w:w="1900"/>
            <w:shd w:fill="EBF3FB" w:color="auto" w:val="clear"/>
            <w:tcMar>
              <w:top w:type="dxa" w:w="80"/>
              <w:left w:type="dxa" w:w="100"/>
              <w:bottom w:type="dxa" w:w="80"/>
              <w:right w:type="dxa" w:w="100"/>
            </w:tcMar>
          </w:tcPr>
          <w:p>
            <w:pPr>
              <w:spacing w:after="60" w:before="60"/>
            </w:pPr>
            <w:r>
              <w:rPr>
                <w:rFonts w:ascii="Times New Roman" w:cs="Times New Roman" w:eastAsia="Times New Roman" w:hAnsi="Times New Roman"/>
                <w:sz w:val="18"/>
                <w:szCs w:val="18"/>
              </w:rPr>
              <w:t xml:space="preserve">Systematic failure modes in agentic literature retrieval pipelines</w:t>
            </w:r>
          </w:p>
        </w:tc>
        <w:tc>
          <w:tcPr>
            <w:tcW w:type="dxa" w:w="1900"/>
            <w:shd w:fill="EBF3FB" w:color="auto" w:val="clear"/>
            <w:tcMar>
              <w:top w:type="dxa" w:w="80"/>
              <w:left w:type="dxa" w:w="100"/>
              <w:bottom w:type="dxa" w:w="80"/>
              <w:right w:type="dxa" w:w="100"/>
            </w:tcMar>
          </w:tcPr>
          <w:p>
            <w:pPr>
              <w:spacing w:after="60" w:before="60"/>
            </w:pPr>
            <w:r>
              <w:rPr>
                <w:rFonts w:ascii="Times New Roman" w:cs="Times New Roman" w:eastAsia="Times New Roman" w:hAnsi="Times New Roman"/>
                <w:sz w:val="18"/>
                <w:szCs w:val="18"/>
              </w:rPr>
              <w:t xml:space="preserve">Post-hoc trace analysis identifying duplicate-record and query-scope-drift failures</w:t>
            </w:r>
          </w:p>
        </w:tc>
        <w:tc>
          <w:tcPr>
            <w:tcW w:type="dxa" w:w="2000"/>
            <w:shd w:fill="EBF3FB" w:color="auto" w:val="clear"/>
            <w:tcMar>
              <w:top w:type="dxa" w:w="80"/>
              <w:left w:type="dxa" w:w="100"/>
              <w:bottom w:type="dxa" w:w="80"/>
              <w:right w:type="dxa" w:w="100"/>
            </w:tcMar>
          </w:tcPr>
          <w:p>
            <w:pPr>
              <w:spacing w:after="60" w:before="60"/>
            </w:pPr>
            <w:r>
              <w:rPr>
                <w:rFonts w:ascii="Times New Roman" w:cs="Times New Roman" w:eastAsia="Times New Roman" w:hAnsi="Times New Roman"/>
                <w:sz w:val="18"/>
                <w:szCs w:val="18"/>
              </w:rPr>
              <w:t xml:space="preserve">Taxonomy of failure modes with proposed remediations</w:t>
            </w:r>
          </w:p>
        </w:tc>
        <w:tc>
          <w:tcPr>
            <w:tcW w:type="dxa" w:w="1900"/>
            <w:shd w:fill="EBF3FB" w:color="auto" w:val="clear"/>
            <w:tcMar>
              <w:top w:type="dxa" w:w="80"/>
              <w:left w:type="dxa" w:w="100"/>
              <w:bottom w:type="dxa" w:w="80"/>
              <w:right w:type="dxa" w:w="100"/>
            </w:tcMar>
          </w:tcPr>
          <w:p>
            <w:pPr>
              <w:spacing w:after="60" w:before="60"/>
            </w:pPr>
            <w:r>
              <w:rPr>
                <w:rFonts w:ascii="Times New Roman" w:cs="Times New Roman" w:eastAsia="Times New Roman" w:hAnsi="Times New Roman"/>
                <w:sz w:val="18"/>
                <w:szCs w:val="18"/>
              </w:rPr>
              <w:t xml:space="preserve">Remediations applied post-hoc rather than as default architectural components</w:t>
            </w:r>
          </w:p>
        </w:tc>
      </w:tr>
    </w:tbl>
    <w:p>
      <w:pPr>
        <w:spacing w:after="160" w:before="400"/>
      </w:pPr>
      <w:r>
        <w:rPr>
          <w:rFonts w:ascii="Times New Roman" w:cs="Times New Roman" w:eastAsia="Times New Roman" w:hAnsi="Times New Roman"/>
          <w:b/>
          <w:bCs/>
          <w:sz w:val="28"/>
          <w:szCs w:val="28"/>
        </w:rPr>
        <w:t xml:space="preserve">3. Methodology — Framework Architecture</w:t>
      </w:r>
    </w:p>
    <w:p>
      <w:pPr>
        <w:spacing w:after="120" w:before="280"/>
      </w:pPr>
      <w:r>
        <w:rPr>
          <w:rFonts w:ascii="Times New Roman" w:cs="Times New Roman" w:eastAsia="Times New Roman" w:hAnsi="Times New Roman"/>
          <w:b/>
          <w:bCs/>
          <w:i/>
          <w:iCs/>
          <w:sz w:val="26"/>
          <w:szCs w:val="26"/>
        </w:rPr>
        <w:t xml:space="preserve">3.1 Overall Framework Architecture</w:t>
      </w:r>
    </w:p>
    <w:p>
      <w:pPr>
        <w:spacing w:after="160" w:before="0" w:line="480" w:lineRule="auto"/>
        <w:jc w:val="both"/>
      </w:pPr>
      <w:r>
        <w:rPr>
          <w:rFonts w:ascii="Times New Roman" w:cs="Times New Roman" w:eastAsia="Times New Roman" w:hAnsi="Times New Roman"/>
          <w:sz w:val="24"/>
          <w:szCs w:val="24"/>
        </w:rPr>
        <w:t xml:space="preserve">The proposed system is structured as a cascading, graph-orchestrated multi-agent pipeline in which a raw natural-language research query is progressively transformed into a structured, citation-grounded literature review through five sequential processing stages: query enhancement, automated multi-source retrieval, document curation and parsing, critical cross-paper analysis and synthesis, and editorial meta-review drafting. Each stage is implemented as one or more discrete agents operating over a shared, typed state object. Control flow between stages is governed by a directed state graph G = (V, E, S, T), where V denotes the set of agent nodes, E denotes the directed edges encoding execution dependencies and conditional re-invocation paths, S denotes the shared state schema, and T denotes a checkpointing mechanism that persists state across long-running retrieval and parsing operations, enabling resumption without recomputation of completed stages.</w:t>
      </w:r>
    </w:p>
    <w:p>
      <w:pPr>
        <w:spacing w:after="160" w:before="0" w:line="480" w:lineRule="auto"/>
        <w:jc w:val="both"/>
      </w:pPr>
      <w:r>
        <w:rPr>
          <w:rFonts w:ascii="Times New Roman" w:cs="Times New Roman" w:eastAsia="Times New Roman" w:hAnsi="Times New Roman"/>
          <w:sz w:val="24"/>
          <w:szCs w:val="24"/>
        </w:rPr>
        <w:t xml:space="preserve">The architecture is deliberately non-linear at two points: first, between the query-enhancement stage and the retrieval stage, where a relevance-adequacy check may trigger re-invocation of the query-enhancement agent if initial retrieval yields a corpus below a configurable relevance threshold; and second, between the synthesis stage and the curation stage, where the synthesis agent's gap-analysis output may trigger a targeted supplementary retrieval pass for under-represented subtopics identified during cross-paper comparison. This conditional routing distinguishes the framework from fixed linear RAG pipelines and is the principal mechanism by which the system approximates the iterative refinement behavior of a human reviewer.</w:t>
      </w:r>
    </w:p>
    <w:p>
      <w:pPr>
        <w:pBdr>
          <w:top w:val="single" w:color="999999" w:sz="8"/>
          <w:left w:val="single" w:color="999999" w:sz="8"/>
          <w:right w:val="single" w:color="999999" w:sz="8"/>
        </w:pBdr>
        <w:spacing w:after="0" w:before="160"/>
      </w:pPr>
      <w:r>
        <w:rPr>
          <w:rFonts w:ascii="Times New Roman" w:cs="Times New Roman" w:eastAsia="Times New Roman" w:hAnsi="Times New Roman"/>
          <w:sz w:val="24"/>
          <w:szCs w:val="24"/>
        </w:rPr>
        <w:t xml:space="preserve"/>
      </w:r>
    </w:p>
    <w:p>
      <w:pPr>
        <w:pBdr>
          <w:left w:val="single" w:color="999999" w:sz="8"/>
          <w:right w:val="single" w:color="999999" w:sz="8"/>
        </w:pBdr>
        <w:spacing w:after="0" w:before="0"/>
      </w:pPr>
      <w:r>
        <w:rPr>
          <w:rFonts w:ascii="Times New Roman" w:cs="Times New Roman" w:eastAsia="Times New Roman" w:hAnsi="Times New Roman"/>
          <w:sz w:val="24"/>
          <w:szCs w:val="24"/>
        </w:rPr>
        <w:t xml:space="preserve"> </w:t>
      </w:r>
    </w:p>
    <w:p>
      <w:pPr>
        <w:pBdr>
          <w:left w:val="single" w:color="999999" w:sz="8"/>
          <w:right w:val="single" w:color="999999" w:sz="8"/>
        </w:pBdr>
        <w:spacing w:after="0" w:before="0"/>
      </w:pPr>
      <w:r>
        <w:rPr>
          <w:rFonts w:ascii="Times New Roman" w:cs="Times New Roman" w:eastAsia="Times New Roman" w:hAnsi="Times New Roman"/>
          <w:sz w:val="24"/>
          <w:szCs w:val="24"/>
        </w:rPr>
        <w:t xml:space="preserve"> </w:t>
      </w:r>
    </w:p>
    <w:p>
      <w:pPr>
        <w:pBdr>
          <w:left w:val="single" w:color="999999" w:sz="8"/>
          <w:right w:val="single" w:color="999999" w:sz="8"/>
        </w:pBdr>
        <w:spacing w:after="0" w:before="0"/>
      </w:pPr>
      <w:r>
        <w:rPr>
          <w:rFonts w:ascii="Times New Roman" w:cs="Times New Roman" w:eastAsia="Times New Roman" w:hAnsi="Times New Roman"/>
          <w:sz w:val="24"/>
          <w:szCs w:val="24"/>
        </w:rPr>
        <w:t xml:space="preserve"> </w:t>
      </w:r>
    </w:p>
    <w:p>
      <w:pPr>
        <w:pBdr>
          <w:left w:val="single" w:color="999999" w:sz="8"/>
          <w:right w:val="single" w:color="999999" w:sz="8"/>
        </w:pBdr>
        <w:spacing w:after="0" w:before="0"/>
      </w:pPr>
      <w:r>
        <w:rPr>
          <w:rFonts w:ascii="Times New Roman" w:cs="Times New Roman" w:eastAsia="Times New Roman" w:hAnsi="Times New Roman"/>
          <w:sz w:val="24"/>
          <w:szCs w:val="24"/>
        </w:rPr>
        <w:t xml:space="preserve"> </w:t>
      </w:r>
    </w:p>
    <w:p>
      <w:pPr>
        <w:pBdr>
          <w:left w:val="single" w:color="999999" w:sz="8"/>
          <w:right w:val="single" w:color="999999" w:sz="8"/>
        </w:pBdr>
        <w:spacing w:after="0" w:before="0"/>
      </w:pPr>
      <w:r>
        <w:rPr>
          <w:rFonts w:ascii="Times New Roman" w:cs="Times New Roman" w:eastAsia="Times New Roman" w:hAnsi="Times New Roman"/>
          <w:sz w:val="24"/>
          <w:szCs w:val="24"/>
        </w:rPr>
        <w:t xml:space="preserve"> </w:t>
      </w:r>
    </w:p>
    <w:p>
      <w:pPr>
        <w:pBdr>
          <w:left w:val="single" w:color="999999" w:sz="8"/>
          <w:right w:val="single" w:color="999999" w:sz="8"/>
        </w:pBdr>
        <w:spacing w:after="0" w:before="0"/>
      </w:pPr>
      <w:r>
        <w:rPr>
          <w:rFonts w:ascii="Times New Roman" w:cs="Times New Roman" w:eastAsia="Times New Roman" w:hAnsi="Times New Roman"/>
          <w:sz w:val="24"/>
          <w:szCs w:val="24"/>
        </w:rPr>
        <w:t xml:space="preserve"> </w:t>
      </w:r>
    </w:p>
    <w:p>
      <w:pPr>
        <w:pBdr>
          <w:left w:val="single" w:color="999999" w:sz="8"/>
          <w:right w:val="single" w:color="999999" w:sz="8"/>
        </w:pBdr>
        <w:spacing w:after="0" w:before="0"/>
      </w:pPr>
      <w:r>
        <w:rPr>
          <w:rFonts w:ascii="Times New Roman" w:cs="Times New Roman" w:eastAsia="Times New Roman" w:hAnsi="Times New Roman"/>
          <w:sz w:val="24"/>
          <w:szCs w:val="24"/>
        </w:rPr>
        <w:t xml:space="preserve"> </w:t>
      </w:r>
    </w:p>
    <w:p>
      <w:pPr>
        <w:pBdr>
          <w:left w:val="single" w:color="999999" w:sz="8"/>
          <w:right w:val="single" w:color="999999" w:sz="8"/>
        </w:pBdr>
        <w:spacing w:after="0" w:before="0"/>
      </w:pPr>
      <w:r>
        <w:rPr>
          <w:rFonts w:ascii="Times New Roman" w:cs="Times New Roman" w:eastAsia="Times New Roman" w:hAnsi="Times New Roman"/>
          <w:sz w:val="24"/>
          <w:szCs w:val="24"/>
        </w:rPr>
        <w:t xml:space="preserve"> </w:t>
      </w:r>
    </w:p>
    <w:p>
      <w:pPr>
        <w:pBdr>
          <w:left w:val="single" w:color="999999" w:sz="8"/>
          <w:right w:val="single" w:color="999999" w:sz="8"/>
        </w:pBdr>
        <w:spacing w:after="0" w:before="0"/>
      </w:pPr>
      <w:r>
        <w:rPr>
          <w:rFonts w:ascii="Times New Roman" w:cs="Times New Roman" w:eastAsia="Times New Roman" w:hAnsi="Times New Roman"/>
          <w:sz w:val="24"/>
          <w:szCs w:val="24"/>
        </w:rPr>
        <w:t xml:space="preserve"> </w:t>
      </w:r>
    </w:p>
    <w:p>
      <w:pPr>
        <w:pBdr>
          <w:left w:val="single" w:color="999999" w:sz="8"/>
          <w:right w:val="single" w:color="999999" w:sz="8"/>
        </w:pBdr>
        <w:spacing w:after="0" w:before="0"/>
      </w:pPr>
      <w:r>
        <w:rPr>
          <w:rFonts w:ascii="Times New Roman" w:cs="Times New Roman" w:eastAsia="Times New Roman" w:hAnsi="Times New Roman"/>
          <w:sz w:val="24"/>
          <w:szCs w:val="24"/>
        </w:rPr>
        <w:t xml:space="preserve"> </w:t>
      </w:r>
    </w:p>
    <w:p>
      <w:pPr>
        <w:pBdr>
          <w:bottom w:val="single" w:color="999999" w:sz="8"/>
          <w:left w:val="single" w:color="999999" w:sz="8"/>
          <w:right w:val="single" w:color="999999" w:sz="8"/>
        </w:pBdr>
        <w:spacing w:after="0" w:before="0"/>
      </w:pPr>
      <w:r>
        <w:rPr>
          <w:rFonts w:ascii="Times New Roman" w:cs="Times New Roman" w:eastAsia="Times New Roman" w:hAnsi="Times New Roman"/>
          <w:sz w:val="24"/>
          <w:szCs w:val="24"/>
        </w:rPr>
        <w:t xml:space="preserve"/>
      </w:r>
    </w:p>
    <w:p>
      <w:pPr>
        <w:spacing w:after="320" w:before="80"/>
        <w:jc w:val="center"/>
      </w:pPr>
      <w:r>
        <w:rPr>
          <w:rFonts w:ascii="Times New Roman" w:cs="Times New Roman" w:eastAsia="Times New Roman" w:hAnsi="Times New Roman"/>
          <w:b/>
          <w:bCs/>
          <w:i/>
          <w:iCs/>
          <w:sz w:val="24"/>
          <w:szCs w:val="24"/>
        </w:rPr>
        <w:t xml:space="preserve">Figure 1: Global Multi-Agent Literature Review Architecture and Component Layout</w:t>
      </w:r>
    </w:p>
    <w:p>
      <w:pPr>
        <w:pBdr>
          <w:top w:val="single" w:color="999999" w:sz="8"/>
          <w:left w:val="single" w:color="999999" w:sz="8"/>
          <w:right w:val="single" w:color="999999" w:sz="8"/>
        </w:pBdr>
        <w:spacing w:after="0" w:before="160"/>
      </w:pPr>
      <w:r>
        <w:rPr>
          <w:rFonts w:ascii="Times New Roman" w:cs="Times New Roman" w:eastAsia="Times New Roman" w:hAnsi="Times New Roman"/>
          <w:sz w:val="24"/>
          <w:szCs w:val="24"/>
        </w:rPr>
        <w:t xml:space="preserve"/>
      </w:r>
    </w:p>
    <w:p>
      <w:pPr>
        <w:pBdr>
          <w:left w:val="single" w:color="999999" w:sz="8"/>
          <w:right w:val="single" w:color="999999" w:sz="8"/>
        </w:pBdr>
        <w:spacing w:after="0" w:before="0"/>
      </w:pPr>
      <w:r>
        <w:rPr>
          <w:rFonts w:ascii="Times New Roman" w:cs="Times New Roman" w:eastAsia="Times New Roman" w:hAnsi="Times New Roman"/>
          <w:sz w:val="24"/>
          <w:szCs w:val="24"/>
        </w:rPr>
        <w:t xml:space="preserve"> </w:t>
      </w:r>
    </w:p>
    <w:p>
      <w:pPr>
        <w:pBdr>
          <w:left w:val="single" w:color="999999" w:sz="8"/>
          <w:right w:val="single" w:color="999999" w:sz="8"/>
        </w:pBdr>
        <w:spacing w:after="0" w:before="0"/>
      </w:pPr>
      <w:r>
        <w:rPr>
          <w:rFonts w:ascii="Times New Roman" w:cs="Times New Roman" w:eastAsia="Times New Roman" w:hAnsi="Times New Roman"/>
          <w:sz w:val="24"/>
          <w:szCs w:val="24"/>
        </w:rPr>
        <w:t xml:space="preserve"> </w:t>
      </w:r>
    </w:p>
    <w:p>
      <w:pPr>
        <w:pBdr>
          <w:left w:val="single" w:color="999999" w:sz="8"/>
          <w:right w:val="single" w:color="999999" w:sz="8"/>
        </w:pBdr>
        <w:spacing w:after="0" w:before="0"/>
      </w:pPr>
      <w:r>
        <w:rPr>
          <w:rFonts w:ascii="Times New Roman" w:cs="Times New Roman" w:eastAsia="Times New Roman" w:hAnsi="Times New Roman"/>
          <w:sz w:val="24"/>
          <w:szCs w:val="24"/>
        </w:rPr>
        <w:t xml:space="preserve"> </w:t>
      </w:r>
    </w:p>
    <w:p>
      <w:pPr>
        <w:pBdr>
          <w:left w:val="single" w:color="999999" w:sz="8"/>
          <w:right w:val="single" w:color="999999" w:sz="8"/>
        </w:pBdr>
        <w:spacing w:after="0" w:before="0"/>
      </w:pPr>
      <w:r>
        <w:rPr>
          <w:rFonts w:ascii="Times New Roman" w:cs="Times New Roman" w:eastAsia="Times New Roman" w:hAnsi="Times New Roman"/>
          <w:sz w:val="24"/>
          <w:szCs w:val="24"/>
        </w:rPr>
        <w:t xml:space="preserve"> </w:t>
      </w:r>
    </w:p>
    <w:p>
      <w:pPr>
        <w:pBdr>
          <w:left w:val="single" w:color="999999" w:sz="8"/>
          <w:right w:val="single" w:color="999999" w:sz="8"/>
        </w:pBdr>
        <w:spacing w:after="0" w:before="0"/>
      </w:pPr>
      <w:r>
        <w:rPr>
          <w:rFonts w:ascii="Times New Roman" w:cs="Times New Roman" w:eastAsia="Times New Roman" w:hAnsi="Times New Roman"/>
          <w:sz w:val="24"/>
          <w:szCs w:val="24"/>
        </w:rPr>
        <w:t xml:space="preserve"> </w:t>
      </w:r>
    </w:p>
    <w:p>
      <w:pPr>
        <w:pBdr>
          <w:left w:val="single" w:color="999999" w:sz="8"/>
          <w:right w:val="single" w:color="999999" w:sz="8"/>
        </w:pBdr>
        <w:spacing w:after="0" w:before="0"/>
      </w:pPr>
      <w:r>
        <w:rPr>
          <w:rFonts w:ascii="Times New Roman" w:cs="Times New Roman" w:eastAsia="Times New Roman" w:hAnsi="Times New Roman"/>
          <w:sz w:val="24"/>
          <w:szCs w:val="24"/>
        </w:rPr>
        <w:t xml:space="preserve"> </w:t>
      </w:r>
    </w:p>
    <w:p>
      <w:pPr>
        <w:pBdr>
          <w:left w:val="single" w:color="999999" w:sz="8"/>
          <w:right w:val="single" w:color="999999" w:sz="8"/>
        </w:pBdr>
        <w:spacing w:after="0" w:before="0"/>
      </w:pPr>
      <w:r>
        <w:rPr>
          <w:rFonts w:ascii="Times New Roman" w:cs="Times New Roman" w:eastAsia="Times New Roman" w:hAnsi="Times New Roman"/>
          <w:sz w:val="24"/>
          <w:szCs w:val="24"/>
        </w:rPr>
        <w:t xml:space="preserve"> </w:t>
      </w:r>
    </w:p>
    <w:p>
      <w:pPr>
        <w:pBdr>
          <w:left w:val="single" w:color="999999" w:sz="8"/>
          <w:right w:val="single" w:color="999999" w:sz="8"/>
        </w:pBdr>
        <w:spacing w:after="0" w:before="0"/>
      </w:pPr>
      <w:r>
        <w:rPr>
          <w:rFonts w:ascii="Times New Roman" w:cs="Times New Roman" w:eastAsia="Times New Roman" w:hAnsi="Times New Roman"/>
          <w:sz w:val="24"/>
          <w:szCs w:val="24"/>
        </w:rPr>
        <w:t xml:space="preserve"> </w:t>
      </w:r>
    </w:p>
    <w:p>
      <w:pPr>
        <w:pBdr>
          <w:left w:val="single" w:color="999999" w:sz="8"/>
          <w:right w:val="single" w:color="999999" w:sz="8"/>
        </w:pBdr>
        <w:spacing w:after="0" w:before="0"/>
      </w:pPr>
      <w:r>
        <w:rPr>
          <w:rFonts w:ascii="Times New Roman" w:cs="Times New Roman" w:eastAsia="Times New Roman" w:hAnsi="Times New Roman"/>
          <w:sz w:val="24"/>
          <w:szCs w:val="24"/>
        </w:rPr>
        <w:t xml:space="preserve"> </w:t>
      </w:r>
    </w:p>
    <w:p>
      <w:pPr>
        <w:pBdr>
          <w:left w:val="single" w:color="999999" w:sz="8"/>
          <w:right w:val="single" w:color="999999" w:sz="8"/>
        </w:pBdr>
        <w:spacing w:after="0" w:before="0"/>
      </w:pPr>
      <w:r>
        <w:rPr>
          <w:rFonts w:ascii="Times New Roman" w:cs="Times New Roman" w:eastAsia="Times New Roman" w:hAnsi="Times New Roman"/>
          <w:sz w:val="24"/>
          <w:szCs w:val="24"/>
        </w:rPr>
        <w:t xml:space="preserve"> </w:t>
      </w:r>
    </w:p>
    <w:p>
      <w:pPr>
        <w:pBdr>
          <w:bottom w:val="single" w:color="999999" w:sz="8"/>
          <w:left w:val="single" w:color="999999" w:sz="8"/>
          <w:right w:val="single" w:color="999999" w:sz="8"/>
        </w:pBdr>
        <w:spacing w:after="0" w:before="0"/>
      </w:pPr>
      <w:r>
        <w:rPr>
          <w:rFonts w:ascii="Times New Roman" w:cs="Times New Roman" w:eastAsia="Times New Roman" w:hAnsi="Times New Roman"/>
          <w:sz w:val="24"/>
          <w:szCs w:val="24"/>
        </w:rPr>
        <w:t xml:space="preserve"/>
      </w:r>
    </w:p>
    <w:p>
      <w:pPr>
        <w:spacing w:after="320" w:before="80"/>
        <w:jc w:val="center"/>
      </w:pPr>
      <w:r>
        <w:rPr>
          <w:rFonts w:ascii="Times New Roman" w:cs="Times New Roman" w:eastAsia="Times New Roman" w:hAnsi="Times New Roman"/>
          <w:b/>
          <w:bCs/>
          <w:i/>
          <w:iCs/>
          <w:sz w:val="24"/>
          <w:szCs w:val="24"/>
        </w:rPr>
        <w:t xml:space="preserve">Figure 2: Operational Dataflow and State Machine Routing</w:t>
      </w:r>
    </w:p>
    <w:p>
      <w:pPr>
        <w:spacing w:after="120" w:before="280"/>
      </w:pPr>
      <w:r>
        <w:rPr>
          <w:rFonts w:ascii="Times New Roman" w:cs="Times New Roman" w:eastAsia="Times New Roman" w:hAnsi="Times New Roman"/>
          <w:b/>
          <w:bCs/>
          <w:i/>
          <w:iCs/>
          <w:sz w:val="26"/>
          <w:szCs w:val="26"/>
        </w:rPr>
        <w:t xml:space="preserve">3.2 Input Query and Query Enhancement / Refinement</w:t>
      </w:r>
    </w:p>
    <w:p>
      <w:pPr>
        <w:spacing w:after="160" w:before="0" w:line="480" w:lineRule="auto"/>
        <w:jc w:val="both"/>
      </w:pPr>
      <w:r>
        <w:rPr>
          <w:rFonts w:ascii="Times New Roman" w:cs="Times New Roman" w:eastAsia="Times New Roman" w:hAnsi="Times New Roman"/>
          <w:sz w:val="24"/>
          <w:szCs w:val="24"/>
        </w:rPr>
        <w:t xml:space="preserve">The system accepts as input a single free-text research query expressed in natural language, with no requirement that the user supply structured search syntax, database-specific field tags, or controlled-vocabulary terms. This raw query is passed to the Query Enhancement Agent, which performs a structured, multi-step expansion implemented as a constrained chain-of-thought prompt against the orchestrating LLM. The expansion proceeds through four sub-operations: (i) entity and concept extraction, in which core research constructs, populations, methods, and outcome variables are identified and isolated; (ii) terminology and synonym expansion, in which each extracted concept is mapped to commonly used synonyms, abbreviations, and field-specific terminology variants; (iii) scope-anchoring, in which the agent explicitly constrains the expanded term set to the conceptual frame of the original query, preventing query scope drift identified as a systematic failure mode in prior work; and (iv) Boolean query construction, in which the expanded terms are assembled into database-appropriate Boolean expressions incorporating field-restriction operators, publication-date ranges, and document-type filters where supported by the target database.</w:t>
      </w:r>
    </w:p>
    <w:p>
      <w:pPr>
        <w:spacing w:after="160" w:before="0" w:line="480" w:lineRule="auto"/>
        <w:jc w:val="both"/>
      </w:pPr>
      <w:r>
        <w:rPr>
          <w:rFonts w:ascii="Times New Roman" w:cs="Times New Roman" w:eastAsia="Times New Roman" w:hAnsi="Times New Roman"/>
          <w:sz w:val="24"/>
          <w:szCs w:val="24"/>
        </w:rPr>
        <w:t xml:space="preserve">The output of this agent is not a single string but a structured query object containing a primary Boolean expression, one or more fallback expressions of decreasing specificity, and a normalized list of core concepts used downstream by the relevance-screening sub-stage to score retrieved documents independent of the exact search syntax used. The following table illustrates the transformation from raw user input to enhanced system query.</w:t>
      </w:r>
    </w:p>
    <w:p>
      <w:pPr>
        <w:spacing w:after="120" w:before="280"/>
        <w:jc w:val="center"/>
      </w:pPr>
      <w:r>
        <w:rPr>
          <w:rFonts w:ascii="Times New Roman" w:cs="Times New Roman" w:eastAsia="Times New Roman" w:hAnsi="Times New Roman"/>
          <w:b/>
          <w:bCs/>
          <w:sz w:val="24"/>
          <w:szCs w:val="24"/>
        </w:rPr>
        <w:t xml:space="preserve">Query Enhancement Example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000"/>
        <w:gridCol w:w="4800"/>
      </w:tblGrid>
      <w:tr>
        <w:trPr>
          <w:tblHeader/>
        </w:trPr>
        <w:tc>
          <w:tcPr>
            <w:tcW w:type="dxa" w:w="4000"/>
            <w:shd w:fill="2E75B6" w:color="auto" w:val="clear"/>
            <w:tcMar>
              <w:top w:type="dxa" w:w="80"/>
              <w:left w:type="dxa" w:w="120"/>
              <w:bottom w:type="dxa" w:w="80"/>
              <w:right w:type="dxa" w:w="120"/>
            </w:tcMar>
          </w:tcPr>
          <w:p>
            <w:pPr>
              <w:spacing w:after="60" w:before="60"/>
            </w:pPr>
            <w:r>
              <w:rPr>
                <w:rFonts w:ascii="Times New Roman" w:cs="Times New Roman" w:eastAsia="Times New Roman" w:hAnsi="Times New Roman"/>
                <w:b/>
                <w:bCs/>
                <w:color w:val="FFFFFF"/>
                <w:sz w:val="20"/>
                <w:szCs w:val="20"/>
              </w:rPr>
              <w:t xml:space="preserve">Raw User Input Query</w:t>
            </w:r>
          </w:p>
        </w:tc>
        <w:tc>
          <w:tcPr>
            <w:tcW w:type="dxa" w:w="4800"/>
            <w:shd w:fill="2E75B6" w:color="auto" w:val="clear"/>
            <w:tcMar>
              <w:top w:type="dxa" w:w="80"/>
              <w:left w:type="dxa" w:w="120"/>
              <w:bottom w:type="dxa" w:w="80"/>
              <w:right w:type="dxa" w:w="120"/>
            </w:tcMar>
          </w:tcPr>
          <w:p>
            <w:pPr>
              <w:spacing w:after="60" w:before="60"/>
            </w:pPr>
            <w:r>
              <w:rPr>
                <w:rFonts w:ascii="Times New Roman" w:cs="Times New Roman" w:eastAsia="Times New Roman" w:hAnsi="Times New Roman"/>
                <w:b/>
                <w:bCs/>
                <w:color w:val="FFFFFF"/>
                <w:sz w:val="20"/>
                <w:szCs w:val="20"/>
              </w:rPr>
              <w:t xml:space="preserve">Enhanced System Query (Primary Boolean Expression)</w:t>
            </w:r>
          </w:p>
        </w:tc>
      </w:tr>
      <w:tr>
        <w:tc>
          <w:tcPr>
            <w:tcW w:type="dxa" w:w="4000"/>
            <w:shd w:fill="EBF3FB" w:color="auto" w:val="clear"/>
            <w:tcMar>
              <w:top w:type="dxa" w:w="80"/>
              <w:left w:type="dxa" w:w="120"/>
              <w:bottom w:type="dxa" w:w="80"/>
              <w:right w:type="dxa" w:w="120"/>
            </w:tcMar>
          </w:tcPr>
          <w:p>
            <w:pPr>
              <w:spacing w:after="60" w:before="60"/>
            </w:pPr>
            <w:r>
              <w:rPr>
                <w:rFonts w:ascii="Times New Roman" w:cs="Times New Roman" w:eastAsia="Times New Roman" w:hAnsi="Times New Roman"/>
                <w:i/>
                <w:iCs/>
                <w:sz w:val="20"/>
                <w:szCs w:val="20"/>
              </w:rPr>
              <w:t xml:space="preserve">"What are the latest approaches for using AI agents to automate research paper reviews?"</w:t>
            </w:r>
          </w:p>
        </w:tc>
        <w:tc>
          <w:tcPr>
            <w:tcW w:type="dxa" w:w="4800"/>
            <w:shd w:fill="EBF3FB" w:color="auto" w:val="clear"/>
            <w:tcMar>
              <w:top w:type="dxa" w:w="80"/>
              <w:left w:type="dxa" w:w="120"/>
              <w:bottom w:type="dxa" w:w="80"/>
              <w:right w:type="dxa" w:w="120"/>
            </w:tcMar>
          </w:tcPr>
          <w:p>
            <w:pPr>
              <w:spacing w:after="60" w:before="60"/>
            </w:pPr>
            <w:r>
              <w:rPr>
                <w:rFonts w:ascii="Times New Roman" w:cs="Times New Roman" w:eastAsia="Times New Roman" w:hAnsi="Times New Roman"/>
                <w:sz w:val="20"/>
                <w:szCs w:val="20"/>
              </w:rPr>
              <w:t xml:space="preserve">("agentic AI" OR "autonomous agent*" OR "multi-agent system*") AND ("literature review" OR "systematic review" OR "research synthesis") AND ("automat*" OR "large language model*" OR "LLM") AND PUBYEAR &gt; 2023</w:t>
            </w:r>
          </w:p>
        </w:tc>
      </w:tr>
    </w:tbl>
    <w:p>
      <w:pPr>
        <w:spacing w:after="120" w:before="280"/>
      </w:pPr>
      <w:r>
        <w:rPr>
          <w:rFonts w:ascii="Times New Roman" w:cs="Times New Roman" w:eastAsia="Times New Roman" w:hAnsi="Times New Roman"/>
          <w:b/>
          <w:bCs/>
          <w:i/>
          <w:iCs/>
          <w:sz w:val="26"/>
          <w:szCs w:val="26"/>
        </w:rPr>
        <w:t xml:space="preserve">3.3 The Automated Searching Process</w:t>
      </w:r>
    </w:p>
    <w:p>
      <w:pPr>
        <w:spacing w:after="160" w:before="0" w:line="480" w:lineRule="auto"/>
        <w:jc w:val="both"/>
      </w:pPr>
      <w:r>
        <w:rPr>
          <w:rFonts w:ascii="Times New Roman" w:cs="Times New Roman" w:eastAsia="Times New Roman" w:hAnsi="Times New Roman"/>
          <w:sz w:val="24"/>
          <w:szCs w:val="24"/>
        </w:rPr>
        <w:t xml:space="preserve">The Automated Searching sub-stage receives the structured query object from the Query Enhancement Agent and executes it against multiple digital library interfaces in parallel, including Google Scholar (via a scraping-resilient proxy interface given the absence of an official public API), arXiv (via its native Atom-based API), and IEEE Xplore (via its REST-based metadata API). Each source-specific connector translates the database-agnostic Boolean expression into the target source's native query syntax, accounting for syntactic differences such as field-tag conventions and operator precedence rules.</w:t>
      </w:r>
    </w:p>
    <w:p>
      <w:pPr>
        <w:spacing w:after="160" w:before="0" w:line="480" w:lineRule="auto"/>
        <w:jc w:val="both"/>
      </w:pPr>
      <w:r>
        <w:rPr>
          <w:rFonts w:ascii="Times New Roman" w:cs="Times New Roman" w:eastAsia="Times New Roman" w:hAnsi="Times New Roman"/>
          <w:sz w:val="24"/>
          <w:szCs w:val="24"/>
        </w:rPr>
        <w:t xml:space="preserve">Rate-limit handling is implemented as a per-source token-bucket throttling mechanism in which each connector tracks its remaining request allowance within a rolling time window and queues outgoing requests accordingly. Upon receipt of a rate-limit response (HTTP 429 or equivalent), the connector applies exponential backoff with jitter before retrying, and persists its progress checkpoint to the shared state so that a retrieval session can be resumed without re-issuing already-completed requests. For each candidate result returned by a source connector, a lightweight relevance pre-filter is applied, computing a semantic similarity score between the abstract text and the normalized concept list produced during query enhancement using a sentence-embedding model. Results falling below a configurable similarity threshold are discarded prior to full-text retrieval, reducing downstream parsing load. Results that pass the pre-filter have their metadata records cached to a local document store, keyed by a normalized identifier to support deduplication across sources.</w:t>
      </w:r>
    </w:p>
    <w:p>
      <w:pPr>
        <w:spacing w:after="120" w:before="280"/>
      </w:pPr>
      <w:r>
        <w:rPr>
          <w:rFonts w:ascii="Times New Roman" w:cs="Times New Roman" w:eastAsia="Times New Roman" w:hAnsi="Times New Roman"/>
          <w:b/>
          <w:bCs/>
          <w:i/>
          <w:iCs/>
          <w:sz w:val="26"/>
          <w:szCs w:val="26"/>
        </w:rPr>
        <w:t xml:space="preserve">3.4 Multi-Agent Collaborative Layer</w:t>
      </w:r>
    </w:p>
    <w:p>
      <w:pPr>
        <w:spacing w:after="160" w:before="0" w:line="480" w:lineRule="auto"/>
        <w:jc w:val="both"/>
      </w:pPr>
      <w:r>
        <w:rPr>
          <w:rFonts w:ascii="Times New Roman" w:cs="Times New Roman" w:eastAsia="Times New Roman" w:hAnsi="Times New Roman"/>
          <w:sz w:val="24"/>
          <w:szCs w:val="24"/>
        </w:rPr>
        <w:t xml:space="preserve">The multi-agent collaborative layer comprises three cascading agents, each consuming the validated output of its predecessor and producing a structured artifact for the next.</w:t>
      </w:r>
    </w:p>
    <w:p>
      <w:pPr>
        <w:spacing w:after="80" w:before="200"/>
      </w:pPr>
      <w:r>
        <w:rPr>
          <w:rFonts w:ascii="Times New Roman" w:cs="Times New Roman" w:eastAsia="Times New Roman" w:hAnsi="Times New Roman"/>
          <w:b/>
          <w:bCs/>
          <w:sz w:val="24"/>
          <w:szCs w:val="24"/>
          <w:u w:val="single"/>
        </w:rPr>
        <w:t xml:space="preserve">Agent 1: Curation and Parsing Agent</w:t>
      </w:r>
    </w:p>
    <w:p>
      <w:pPr>
        <w:spacing w:after="160" w:before="0" w:line="480" w:lineRule="auto"/>
        <w:jc w:val="both"/>
      </w:pPr>
      <w:r>
        <w:rPr>
          <w:rFonts w:ascii="Times New Roman" w:cs="Times New Roman" w:eastAsia="Times New Roman" w:hAnsi="Times New Roman"/>
          <w:sz w:val="24"/>
          <w:szCs w:val="24"/>
        </w:rPr>
        <w:t xml:space="preserve">This agent receives the deduplicated, relevance-filtered set of cached documents from the searching stage. Its primary responsibility is to convert heterogeneous document formats, predominantly PDF, into normalized, structured text representations suitable for downstream semantic processing. Parsing is performed through a layout-aware extraction pipeline that distinguishes body text, section headings, tables, figure captions, and reference lists, preserving document structure rather than producing a flat text dump. Following extraction, the agent applies a chunking strategy in which document text is segmented into overlapping passages bounded by semantic section boundaries (Abstract, Methodology, Results, Discussion) where detectable, with a fallback to fixed-token-length chunking with a configurable overlap window for documents lacking clear section demarcation. For each chunk, the agent performs semantic data extraction, populating a per-document structured record with fields including the stated research problem, the methodology or technique employed, reported quantitative results, and explicitly stated limitations, extracted via targeted extraction prompts applied to the relevant section chunks rather than the full document. These per-document structured records, together with their underlying chunk embeddings, are persisted into a localized knowledge base implemented as a vector index paired with a structured metadata table, constituting the queryable corpus passed to Agent 2.</w:t>
      </w:r>
    </w:p>
    <w:p>
      <w:pPr>
        <w:spacing w:after="80" w:before="200"/>
      </w:pPr>
      <w:r>
        <w:rPr>
          <w:rFonts w:ascii="Times New Roman" w:cs="Times New Roman" w:eastAsia="Times New Roman" w:hAnsi="Times New Roman"/>
          <w:b/>
          <w:bCs/>
          <w:sz w:val="24"/>
          <w:szCs w:val="24"/>
          <w:u w:val="single"/>
        </w:rPr>
        <w:t xml:space="preserve">Agent 2: Critical Analysis and Synthesis Agent</w:t>
      </w:r>
    </w:p>
    <w:p>
      <w:pPr>
        <w:spacing w:after="160" w:before="0" w:line="480" w:lineRule="auto"/>
        <w:jc w:val="both"/>
      </w:pPr>
      <w:r>
        <w:rPr>
          <w:rFonts w:ascii="Times New Roman" w:cs="Times New Roman" w:eastAsia="Times New Roman" w:hAnsi="Times New Roman"/>
          <w:sz w:val="24"/>
          <w:szCs w:val="24"/>
        </w:rPr>
        <w:t xml:space="preserve">This agent operates over the localized knowledge base constructed by Agent 1, with the objective of producing a cross-paper comparative analysis. Its first operation is side-by-side evaluation, in which the structured records extracted for each document are aligned along common analytical dimensions, identified by clustering documents according to shared methodological categories or research sub-questions derived from the original query's core concepts. Its second operation is gap analysis, in which the agent inspects the aligned records to identify sub-topics within the original query's scope addressed by few or no retrieved documents — flagging these for potential supplementary retrieval via the conditional re-invocation path — and recurring limitations across multiple documents that constitute an unresolved problem space. Its third operation is cross-referencing of methodologies, in which the agent identifies methodological lineage and divergence across the corpus and annotates these relationships in the comparative structure. The output is a fully populated comparison matrix structured as a table of records keyed by document identifier, with columns corresponding to the four pillars of analysis (problem addressed, methodology, key results, limitations), augmented with cluster assignments, cross-reference annotations, and gap-analysis findings, all represented as structured data rather than free text.</w:t>
      </w:r>
    </w:p>
    <w:p>
      <w:pPr>
        <w:spacing w:after="80" w:before="200"/>
      </w:pPr>
      <w:r>
        <w:rPr>
          <w:rFonts w:ascii="Times New Roman" w:cs="Times New Roman" w:eastAsia="Times New Roman" w:hAnsi="Times New Roman"/>
          <w:b/>
          <w:bCs/>
          <w:sz w:val="24"/>
          <w:szCs w:val="24"/>
          <w:u w:val="single"/>
        </w:rPr>
        <w:t xml:space="preserve">Agent 3: Editorial and Meta-Review Agent</w:t>
      </w:r>
    </w:p>
    <w:p>
      <w:pPr>
        <w:spacing w:after="160" w:before="0" w:line="480" w:lineRule="auto"/>
        <w:jc w:val="both"/>
      </w:pPr>
      <w:r>
        <w:rPr>
          <w:rFonts w:ascii="Times New Roman" w:cs="Times New Roman" w:eastAsia="Times New Roman" w:hAnsi="Times New Roman"/>
          <w:sz w:val="24"/>
          <w:szCs w:val="24"/>
        </w:rPr>
        <w:t xml:space="preserve">This agent receives the structured comparison matrix and gap-analysis output from Agent 2 and transforms this structured data into formal academic prose. Its operation proceeds by first determining a narrative organization strategy, selecting between chronological, thematic, or methodological organization based on the cluster structure identified by Agent 2. For each cluster or chronological grouping, the agent drafts prose paragraphs that synthesize the corresponding comparison-matrix entries into connected academic narrative, explicitly carrying forward each entry's four-pillar content while drawing on Agent 2's cross-reference annotations to construct transitions between related works. The agent's final operation is the generation of a structured comparative summary table, derived directly from the comparison matrix and formatted as Markdown or as a LaTeX tabular environment for direct inclusion in the review document. The complete output of Agent 3, comprising the narrative prose sections and the summary table, constitutes the final literature review draft delivered by the framework, with the gap-analysis findings additionally surfaced as a discrete open-challenges subsection.</w:t>
      </w:r>
    </w:p>
    <w:p>
      <w:pPr>
        <w:spacing w:after="160" w:before="400"/>
      </w:pPr>
      <w:r>
        <w:rPr>
          <w:rFonts w:ascii="Times New Roman" w:cs="Times New Roman" w:eastAsia="Times New Roman" w:hAnsi="Times New Roman"/>
          <w:b/>
          <w:bCs/>
          <w:sz w:val="28"/>
          <w:szCs w:val="28"/>
        </w:rPr>
        <w:t xml:space="preserve">4. Results and Evaluation</w:t>
      </w:r>
    </w:p>
    <w:p>
      <w:pPr>
        <w:spacing w:after="120" w:before="280"/>
      </w:pPr>
      <w:r>
        <w:rPr>
          <w:rFonts w:ascii="Times New Roman" w:cs="Times New Roman" w:eastAsia="Times New Roman" w:hAnsi="Times New Roman"/>
          <w:b/>
          <w:bCs/>
          <w:i/>
          <w:iCs/>
          <w:sz w:val="26"/>
          <w:szCs w:val="26"/>
        </w:rPr>
        <w:t xml:space="preserve">4.1 System Output Deliverables</w:t>
      </w:r>
    </w:p>
    <w:p>
      <w:pPr>
        <w:spacing w:after="160" w:before="0" w:line="480" w:lineRule="auto"/>
        <w:jc w:val="both"/>
      </w:pPr>
      <w:r>
        <w:rPr>
          <w:rFonts w:ascii="Times New Roman" w:cs="Times New Roman" w:eastAsia="Times New Roman" w:hAnsi="Times New Roman"/>
          <w:sz w:val="24"/>
          <w:szCs w:val="24"/>
        </w:rPr>
        <w:t xml:space="preserve">Upon completion of the cascading pipeline, the framework produces a structured bundle of deliverables. The primary deliverable is an auto-generated literature review document rendered in Markdown by default with an optional LaTeX export path, comprising the editorial narrative produced by Agent 3, organized into the chronological, thematic, or methodological sections selected by that agent, and inclusive of in-text citation markers keyed to an accompanying reference list. Alongside the narrative document, the framework outputs the structured comparison matrix generated by Agent 2, exported as a machine-readable JSON file and as a rendered Markdown table, allowing the researcher to verify that the narrative's claims trace back to specific extracted records. A third deliverable is a standalone BibTeX (.bib) file populated automatically from the metadata records retrieved during the automated searching stage, with entry keys generated in a consistent author-year-shorttitle format compatible with direct LaTeX inclusion. Finally, the framework outputs a session log capturing the query-enhancement trace, per-source retrieval counts before and after deduplication and relevance filtering, and the gap-analysis findings flagged by Agent 2.</w:t>
      </w:r>
    </w:p>
    <w:p>
      <w:pPr>
        <w:spacing w:after="120" w:before="280"/>
      </w:pPr>
      <w:r>
        <w:rPr>
          <w:rFonts w:ascii="Times New Roman" w:cs="Times New Roman" w:eastAsia="Times New Roman" w:hAnsi="Times New Roman"/>
          <w:b/>
          <w:bCs/>
          <w:i/>
          <w:iCs/>
          <w:sz w:val="26"/>
          <w:szCs w:val="26"/>
        </w:rPr>
        <w:t xml:space="preserve">4.2 Quantitative Performance Evaluation (Latency and Throughput)</w:t>
      </w:r>
    </w:p>
    <w:p>
      <w:pPr>
        <w:spacing w:after="160" w:before="0" w:line="480" w:lineRule="auto"/>
        <w:jc w:val="both"/>
      </w:pPr>
      <w:r>
        <w:rPr>
          <w:rFonts w:ascii="Times New Roman" w:cs="Times New Roman" w:eastAsia="Times New Roman" w:hAnsi="Times New Roman"/>
          <w:sz w:val="24"/>
          <w:szCs w:val="24"/>
        </w:rPr>
        <w:t xml:space="preserve">The framework was evaluated across multiple research queries, each configured to retrieve and synthesize a corpus of fifteen papers, a corpus size broadly consistent with the scope of a focused literature review section in a conference-length paper. End-to-end execution time was measured from submission of the raw query to delivery of the final Markdown review document and accompanying artifacts, inclusive of all retrieval, parsing, analysis, and drafting stages.</w:t>
      </w:r>
    </w:p>
    <w:p>
      <w:pPr>
        <w:spacing w:after="160" w:before="0" w:line="480" w:lineRule="auto"/>
        <w:jc w:val="both"/>
      </w:pPr>
      <w:r>
        <w:rPr>
          <w:rFonts w:ascii="Times New Roman" w:cs="Times New Roman" w:eastAsia="Times New Roman" w:hAnsi="Times New Roman"/>
          <w:sz w:val="24"/>
          <w:szCs w:val="24"/>
        </w:rPr>
        <w:t xml:space="preserve">System latency was the primary axis of evaluation. Across evaluated queries, full pipeline execution for a fifteen-paper corpus completed within an average of approximately 18 to 25 minutes, with the majority of this time attributable to Agent 1's full-text extraction and chunking operations, which scale with document length and PDF layout complexity, followed by Agent 2's cross-paper comparison, which scales approximately linearly with corpus size. By contrast, the baseline manual process for a comparable fifteen-paper corpus was estimated to require between three and five working days of dedicated researcher effort, equivalent to roughly 24 to 40 hours of active work. This corresponds to an effective time reduction on the order of 95 to 98 percent, framed here as a Human Equivalence Score defined as the ratio of estimated manual person-hours to automated wall-clock execution hours for an equivalent corpus size.</w:t>
      </w:r>
    </w:p>
    <w:p>
      <w:pPr>
        <w:spacing w:after="160" w:before="0" w:line="480" w:lineRule="auto"/>
        <w:jc w:val="both"/>
      </w:pPr>
      <w:r>
        <w:rPr>
          <w:rFonts w:ascii="Times New Roman" w:cs="Times New Roman" w:eastAsia="Times New Roman" w:hAnsi="Times New Roman"/>
          <w:sz w:val="24"/>
          <w:szCs w:val="24"/>
        </w:rPr>
        <w:t xml:space="preserve">Throughput is reported as the number of papers fully processed per minute of pipeline execution, averaging approximately 0.6 to 0.8 papers per minute for the fifteen-paper configuration, with throughput observed to decline modestly for larger corpus sizes due to increased pairwise comparison load in Agent 2. Aggregate token consumption per session corresponded to an estimated API cost in the range of low single-digit US dollars per fifteen-paper review when using a cost-efficient LLM tier. Paper parsing accuracy was assessed by comparing Agent 1's extracted structured records against manually annotated reference extractions, achieving high agreement for the methodology and results fields, with comparatively lower agreement for the limitations field, which is frequently distributed across discussion and conclusion sections rather than stated in a single location.</w:t>
      </w:r>
    </w:p>
    <w:p>
      <w:pPr>
        <w:pBdr>
          <w:top w:val="single" w:color="999999" w:sz="8"/>
          <w:left w:val="single" w:color="999999" w:sz="8"/>
          <w:right w:val="single" w:color="999999" w:sz="8"/>
        </w:pBdr>
        <w:spacing w:after="0" w:before="160"/>
      </w:pPr>
      <w:r>
        <w:rPr>
          <w:rFonts w:ascii="Times New Roman" w:cs="Times New Roman" w:eastAsia="Times New Roman" w:hAnsi="Times New Roman"/>
          <w:sz w:val="24"/>
          <w:szCs w:val="24"/>
        </w:rPr>
        <w:t xml:space="preserve"/>
      </w:r>
    </w:p>
    <w:p>
      <w:pPr>
        <w:pBdr>
          <w:left w:val="single" w:color="999999" w:sz="8"/>
          <w:right w:val="single" w:color="999999" w:sz="8"/>
        </w:pBdr>
        <w:spacing w:after="0" w:before="0"/>
      </w:pPr>
      <w:r>
        <w:rPr>
          <w:rFonts w:ascii="Times New Roman" w:cs="Times New Roman" w:eastAsia="Times New Roman" w:hAnsi="Times New Roman"/>
          <w:sz w:val="24"/>
          <w:szCs w:val="24"/>
        </w:rPr>
        <w:t xml:space="preserve"> </w:t>
      </w:r>
    </w:p>
    <w:p>
      <w:pPr>
        <w:pBdr>
          <w:left w:val="single" w:color="999999" w:sz="8"/>
          <w:right w:val="single" w:color="999999" w:sz="8"/>
        </w:pBdr>
        <w:spacing w:after="0" w:before="0"/>
      </w:pPr>
      <w:r>
        <w:rPr>
          <w:rFonts w:ascii="Times New Roman" w:cs="Times New Roman" w:eastAsia="Times New Roman" w:hAnsi="Times New Roman"/>
          <w:sz w:val="24"/>
          <w:szCs w:val="24"/>
        </w:rPr>
        <w:t xml:space="preserve"> </w:t>
      </w:r>
    </w:p>
    <w:p>
      <w:pPr>
        <w:pBdr>
          <w:left w:val="single" w:color="999999" w:sz="8"/>
          <w:right w:val="single" w:color="999999" w:sz="8"/>
        </w:pBdr>
        <w:spacing w:after="0" w:before="0"/>
      </w:pPr>
      <w:r>
        <w:rPr>
          <w:rFonts w:ascii="Times New Roman" w:cs="Times New Roman" w:eastAsia="Times New Roman" w:hAnsi="Times New Roman"/>
          <w:sz w:val="24"/>
          <w:szCs w:val="24"/>
        </w:rPr>
        <w:t xml:space="preserve"> </w:t>
      </w:r>
    </w:p>
    <w:p>
      <w:pPr>
        <w:pBdr>
          <w:left w:val="single" w:color="999999" w:sz="8"/>
          <w:right w:val="single" w:color="999999" w:sz="8"/>
        </w:pBdr>
        <w:spacing w:after="0" w:before="0"/>
      </w:pPr>
      <w:r>
        <w:rPr>
          <w:rFonts w:ascii="Times New Roman" w:cs="Times New Roman" w:eastAsia="Times New Roman" w:hAnsi="Times New Roman"/>
          <w:sz w:val="24"/>
          <w:szCs w:val="24"/>
        </w:rPr>
        <w:t xml:space="preserve"> </w:t>
      </w:r>
    </w:p>
    <w:p>
      <w:pPr>
        <w:pBdr>
          <w:left w:val="single" w:color="999999" w:sz="8"/>
          <w:right w:val="single" w:color="999999" w:sz="8"/>
        </w:pBdr>
        <w:spacing w:after="0" w:before="0"/>
      </w:pPr>
      <w:r>
        <w:rPr>
          <w:rFonts w:ascii="Times New Roman" w:cs="Times New Roman" w:eastAsia="Times New Roman" w:hAnsi="Times New Roman"/>
          <w:sz w:val="24"/>
          <w:szCs w:val="24"/>
        </w:rPr>
        <w:t xml:space="preserve"> </w:t>
      </w:r>
    </w:p>
    <w:p>
      <w:pPr>
        <w:pBdr>
          <w:left w:val="single" w:color="999999" w:sz="8"/>
          <w:right w:val="single" w:color="999999" w:sz="8"/>
        </w:pBdr>
        <w:spacing w:after="0" w:before="0"/>
      </w:pPr>
      <w:r>
        <w:rPr>
          <w:rFonts w:ascii="Times New Roman" w:cs="Times New Roman" w:eastAsia="Times New Roman" w:hAnsi="Times New Roman"/>
          <w:sz w:val="24"/>
          <w:szCs w:val="24"/>
        </w:rPr>
        <w:t xml:space="preserve"> </w:t>
      </w:r>
    </w:p>
    <w:p>
      <w:pPr>
        <w:pBdr>
          <w:left w:val="single" w:color="999999" w:sz="8"/>
          <w:right w:val="single" w:color="999999" w:sz="8"/>
        </w:pBdr>
        <w:spacing w:after="0" w:before="0"/>
      </w:pPr>
      <w:r>
        <w:rPr>
          <w:rFonts w:ascii="Times New Roman" w:cs="Times New Roman" w:eastAsia="Times New Roman" w:hAnsi="Times New Roman"/>
          <w:sz w:val="24"/>
          <w:szCs w:val="24"/>
        </w:rPr>
        <w:t xml:space="preserve"> </w:t>
      </w:r>
    </w:p>
    <w:p>
      <w:pPr>
        <w:pBdr>
          <w:left w:val="single" w:color="999999" w:sz="8"/>
          <w:right w:val="single" w:color="999999" w:sz="8"/>
        </w:pBdr>
        <w:spacing w:after="0" w:before="0"/>
      </w:pPr>
      <w:r>
        <w:rPr>
          <w:rFonts w:ascii="Times New Roman" w:cs="Times New Roman" w:eastAsia="Times New Roman" w:hAnsi="Times New Roman"/>
          <w:sz w:val="24"/>
          <w:szCs w:val="24"/>
        </w:rPr>
        <w:t xml:space="preserve"> </w:t>
      </w:r>
    </w:p>
    <w:p>
      <w:pPr>
        <w:pBdr>
          <w:left w:val="single" w:color="999999" w:sz="8"/>
          <w:right w:val="single" w:color="999999" w:sz="8"/>
        </w:pBdr>
        <w:spacing w:after="0" w:before="0"/>
      </w:pPr>
      <w:r>
        <w:rPr>
          <w:rFonts w:ascii="Times New Roman" w:cs="Times New Roman" w:eastAsia="Times New Roman" w:hAnsi="Times New Roman"/>
          <w:sz w:val="24"/>
          <w:szCs w:val="24"/>
        </w:rPr>
        <w:t xml:space="preserve"> </w:t>
      </w:r>
    </w:p>
    <w:p>
      <w:pPr>
        <w:pBdr>
          <w:left w:val="single" w:color="999999" w:sz="8"/>
          <w:right w:val="single" w:color="999999" w:sz="8"/>
        </w:pBdr>
        <w:spacing w:after="0" w:before="0"/>
      </w:pPr>
      <w:r>
        <w:rPr>
          <w:rFonts w:ascii="Times New Roman" w:cs="Times New Roman" w:eastAsia="Times New Roman" w:hAnsi="Times New Roman"/>
          <w:sz w:val="24"/>
          <w:szCs w:val="24"/>
        </w:rPr>
        <w:t xml:space="preserve"> </w:t>
      </w:r>
    </w:p>
    <w:p>
      <w:pPr>
        <w:pBdr>
          <w:bottom w:val="single" w:color="999999" w:sz="8"/>
          <w:left w:val="single" w:color="999999" w:sz="8"/>
          <w:right w:val="single" w:color="999999" w:sz="8"/>
        </w:pBdr>
        <w:spacing w:after="0" w:before="0"/>
      </w:pPr>
      <w:r>
        <w:rPr>
          <w:rFonts w:ascii="Times New Roman" w:cs="Times New Roman" w:eastAsia="Times New Roman" w:hAnsi="Times New Roman"/>
          <w:sz w:val="24"/>
          <w:szCs w:val="24"/>
        </w:rPr>
        <w:t xml:space="preserve"/>
      </w:r>
    </w:p>
    <w:p>
      <w:pPr>
        <w:spacing w:after="320" w:before="80"/>
        <w:jc w:val="center"/>
      </w:pPr>
      <w:r>
        <w:rPr>
          <w:rFonts w:ascii="Times New Roman" w:cs="Times New Roman" w:eastAsia="Times New Roman" w:hAnsi="Times New Roman"/>
          <w:b/>
          <w:bCs/>
          <w:i/>
          <w:iCs/>
          <w:sz w:val="24"/>
          <w:szCs w:val="24"/>
        </w:rPr>
        <w:t xml:space="preserve">Figure 3: Latency Comparison Matrix — Human vs. Multi-Agent System</w:t>
      </w:r>
    </w:p>
    <w:p>
      <w:pPr>
        <w:spacing w:after="120" w:before="280"/>
        <w:jc w:val="center"/>
      </w:pPr>
      <w:r>
        <w:rPr>
          <w:rFonts w:ascii="Times New Roman" w:cs="Times New Roman" w:eastAsia="Times New Roman" w:hAnsi="Times New Roman"/>
          <w:b/>
          <w:bCs/>
          <w:sz w:val="24"/>
          <w:szCs w:val="24"/>
        </w:rPr>
        <w:t xml:space="preserve">Table 3: System Performance and Computational Efficiency Benchmarks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000"/>
      </w:tblGrid>
      <w:tr>
        <w:trPr>
          <w:tblHeader/>
        </w:trPr>
        <w:tc>
          <w:tcPr>
            <w:tcW w:type="dxa" w:w="2800"/>
            <w:shd w:fill="2E75B6" w:color="auto" w:val="clear"/>
            <w:tcMar>
              <w:top w:type="dxa" w:w="80"/>
              <w:left w:type="dxa" w:w="120"/>
              <w:bottom w:type="dxa" w:w="80"/>
              <w:right w:type="dxa" w:w="120"/>
            </w:tcMar>
          </w:tcPr>
          <w:p>
            <w:pPr>
              <w:spacing w:after="60" w:before="60"/>
            </w:pPr>
            <w:r>
              <w:rPr>
                <w:rFonts w:ascii="Times New Roman" w:cs="Times New Roman" w:eastAsia="Times New Roman" w:hAnsi="Times New Roman"/>
                <w:b/>
                <w:bCs/>
                <w:color w:val="FFFFFF"/>
                <w:sz w:val="20"/>
                <w:szCs w:val="20"/>
              </w:rPr>
              <w:t xml:space="preserve">Parameter</w:t>
            </w:r>
          </w:p>
        </w:tc>
        <w:tc>
          <w:tcPr>
            <w:tcW w:type="dxa" w:w="3000"/>
            <w:shd w:fill="2E75B6" w:color="auto" w:val="clear"/>
            <w:tcMar>
              <w:top w:type="dxa" w:w="80"/>
              <w:left w:type="dxa" w:w="120"/>
              <w:bottom w:type="dxa" w:w="80"/>
              <w:right w:type="dxa" w:w="120"/>
            </w:tcMar>
          </w:tcPr>
          <w:p>
            <w:pPr>
              <w:spacing w:after="60" w:before="60"/>
            </w:pPr>
            <w:r>
              <w:rPr>
                <w:rFonts w:ascii="Times New Roman" w:cs="Times New Roman" w:eastAsia="Times New Roman" w:hAnsi="Times New Roman"/>
                <w:b/>
                <w:bCs/>
                <w:color w:val="FFFFFF"/>
                <w:sz w:val="20"/>
                <w:szCs w:val="20"/>
              </w:rPr>
              <w:t xml:space="preserve">Value (Multi-Agent Framework)</w:t>
            </w:r>
          </w:p>
        </w:tc>
        <w:tc>
          <w:tcPr>
            <w:tcW w:type="dxa" w:w="3000"/>
            <w:shd w:fill="2E75B6" w:color="auto" w:val="clear"/>
            <w:tcMar>
              <w:top w:type="dxa" w:w="80"/>
              <w:left w:type="dxa" w:w="120"/>
              <w:bottom w:type="dxa" w:w="80"/>
              <w:right w:type="dxa" w:w="120"/>
            </w:tcMar>
          </w:tcPr>
          <w:p>
            <w:pPr>
              <w:spacing w:after="60" w:before="60"/>
            </w:pPr>
            <w:r>
              <w:rPr>
                <w:rFonts w:ascii="Times New Roman" w:cs="Times New Roman" w:eastAsia="Times New Roman" w:hAnsi="Times New Roman"/>
                <w:b/>
                <w:bCs/>
                <w:color w:val="FFFFFF"/>
                <w:sz w:val="20"/>
                <w:szCs w:val="20"/>
              </w:rPr>
              <w:t xml:space="preserve">Baseline (Manual Review)</w:t>
            </w:r>
          </w:p>
        </w:tc>
      </w:tr>
      <w:tr>
        <w:tc>
          <w:tcPr>
            <w:tcW w:type="dxa" w:w="2800"/>
            <w:shd w:fill="EBF3FB" w:color="auto" w:val="clear"/>
            <w:tcMar>
              <w:top w:type="dxa" w:w="80"/>
              <w:left w:type="dxa" w:w="120"/>
              <w:bottom w:type="dxa" w:w="80"/>
              <w:right w:type="dxa" w:w="120"/>
            </w:tcMar>
          </w:tcPr>
          <w:p>
            <w:pPr>
              <w:spacing w:after="60" w:before="60"/>
            </w:pPr>
            <w:r>
              <w:rPr>
                <w:rFonts w:ascii="Times New Roman" w:cs="Times New Roman" w:eastAsia="Times New Roman" w:hAnsi="Times New Roman"/>
                <w:b/>
                <w:bCs/>
                <w:sz w:val="20"/>
                <w:szCs w:val="20"/>
              </w:rPr>
              <w:t xml:space="preserve">Paper Count (Corpus Size)</w:t>
            </w:r>
          </w:p>
        </w:tc>
        <w:tc>
          <w:tcPr>
            <w:tcW w:type="dxa" w:w="3000"/>
            <w:shd w:fill="EBF3FB" w:color="auto"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sz w:val="20"/>
                <w:szCs w:val="20"/>
              </w:rPr>
              <w:t xml:space="preserve">15</w:t>
            </w:r>
          </w:p>
        </w:tc>
        <w:tc>
          <w:tcPr>
            <w:tcW w:type="dxa" w:w="3000"/>
            <w:shd w:fill="EBF3FB" w:color="auto"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sz w:val="20"/>
                <w:szCs w:val="20"/>
              </w:rPr>
              <w:t xml:space="preserve">15</w:t>
            </w:r>
          </w:p>
        </w:tc>
      </w:tr>
      <w:tr>
        <w:tc>
          <w:tcPr>
            <w:tcW w:type="dxa" w:w="2800"/>
            <w:tcMar>
              <w:top w:type="dxa" w:w="80"/>
              <w:left w:type="dxa" w:w="120"/>
              <w:bottom w:type="dxa" w:w="80"/>
              <w:right w:type="dxa" w:w="120"/>
            </w:tcMar>
          </w:tcPr>
          <w:p>
            <w:pPr>
              <w:spacing w:after="60" w:before="60"/>
            </w:pPr>
            <w:r>
              <w:rPr>
                <w:rFonts w:ascii="Times New Roman" w:cs="Times New Roman" w:eastAsia="Times New Roman" w:hAnsi="Times New Roman"/>
                <w:b/>
                <w:bCs/>
                <w:sz w:val="20"/>
                <w:szCs w:val="20"/>
              </w:rPr>
              <w:t xml:space="preserve">Execution Latency (End-to-End)</w:t>
            </w:r>
          </w:p>
        </w:tc>
        <w:tc>
          <w:tcPr>
            <w:tcW w:type="dxa" w:w="3000"/>
            <w:tcMar>
              <w:top w:type="dxa" w:w="80"/>
              <w:left w:type="dxa" w:w="120"/>
              <w:bottom w:type="dxa" w:w="80"/>
              <w:right w:type="dxa" w:w="120"/>
            </w:tcMar>
          </w:tcPr>
          <w:p>
            <w:pPr>
              <w:spacing w:after="60" w:before="60"/>
            </w:pPr>
            <w:r>
              <w:rPr>
                <w:rFonts w:ascii="Times New Roman" w:cs="Times New Roman" w:eastAsia="Times New Roman" w:hAnsi="Times New Roman"/>
                <w:b w:val="false"/>
                <w:bCs w:val="false"/>
                <w:sz w:val="20"/>
                <w:szCs w:val="20"/>
              </w:rPr>
              <w:t xml:space="preserve">~18-25 minutes</w:t>
            </w:r>
          </w:p>
        </w:tc>
        <w:tc>
          <w:tcPr>
            <w:tcW w:type="dxa" w:w="3000"/>
            <w:tcMar>
              <w:top w:type="dxa" w:w="80"/>
              <w:left w:type="dxa" w:w="120"/>
              <w:bottom w:type="dxa" w:w="80"/>
              <w:right w:type="dxa" w:w="120"/>
            </w:tcMar>
          </w:tcPr>
          <w:p>
            <w:pPr>
              <w:spacing w:after="60" w:before="60"/>
            </w:pPr>
            <w:r>
              <w:rPr>
                <w:rFonts w:ascii="Times New Roman" w:cs="Times New Roman" w:eastAsia="Times New Roman" w:hAnsi="Times New Roman"/>
                <w:b w:val="false"/>
                <w:bCs w:val="false"/>
                <w:sz w:val="20"/>
                <w:szCs w:val="20"/>
              </w:rPr>
              <w:t xml:space="preserve">~24-40 hours (3-5 working days)</w:t>
            </w:r>
          </w:p>
        </w:tc>
      </w:tr>
      <w:tr>
        <w:tc>
          <w:tcPr>
            <w:tcW w:type="dxa" w:w="2800"/>
            <w:shd w:fill="EBF3FB" w:color="auto" w:val="clear"/>
            <w:tcMar>
              <w:top w:type="dxa" w:w="80"/>
              <w:left w:type="dxa" w:w="120"/>
              <w:bottom w:type="dxa" w:w="80"/>
              <w:right w:type="dxa" w:w="120"/>
            </w:tcMar>
          </w:tcPr>
          <w:p>
            <w:pPr>
              <w:spacing w:after="60" w:before="60"/>
            </w:pPr>
            <w:r>
              <w:rPr>
                <w:rFonts w:ascii="Times New Roman" w:cs="Times New Roman" w:eastAsia="Times New Roman" w:hAnsi="Times New Roman"/>
                <w:b/>
                <w:bCs/>
                <w:sz w:val="20"/>
                <w:szCs w:val="20"/>
              </w:rPr>
              <w:t xml:space="preserve">Throughput (Papers / Minute)</w:t>
            </w:r>
          </w:p>
        </w:tc>
        <w:tc>
          <w:tcPr>
            <w:tcW w:type="dxa" w:w="3000"/>
            <w:shd w:fill="EBF3FB" w:color="auto"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sz w:val="20"/>
                <w:szCs w:val="20"/>
              </w:rPr>
              <w:t xml:space="preserve">~0.6-0.8</w:t>
            </w:r>
          </w:p>
        </w:tc>
        <w:tc>
          <w:tcPr>
            <w:tcW w:type="dxa" w:w="3000"/>
            <w:shd w:fill="EBF3FB" w:color="auto"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sz w:val="20"/>
                <w:szCs w:val="20"/>
              </w:rPr>
              <w:t xml:space="preserve">~0.006-0.01 (equivalent)</w:t>
            </w:r>
          </w:p>
        </w:tc>
      </w:tr>
      <w:tr>
        <w:tc>
          <w:tcPr>
            <w:tcW w:type="dxa" w:w="2800"/>
            <w:tcMar>
              <w:top w:type="dxa" w:w="80"/>
              <w:left w:type="dxa" w:w="120"/>
              <w:bottom w:type="dxa" w:w="80"/>
              <w:right w:type="dxa" w:w="120"/>
            </w:tcMar>
          </w:tcPr>
          <w:p>
            <w:pPr>
              <w:spacing w:after="60" w:before="60"/>
            </w:pPr>
            <w:r>
              <w:rPr>
                <w:rFonts w:ascii="Times New Roman" w:cs="Times New Roman" w:eastAsia="Times New Roman" w:hAnsi="Times New Roman"/>
                <w:b/>
                <w:bCs/>
                <w:sz w:val="20"/>
                <w:szCs w:val="20"/>
              </w:rPr>
              <w:t xml:space="preserve">Total API Token Consumption</w:t>
            </w:r>
          </w:p>
        </w:tc>
        <w:tc>
          <w:tcPr>
            <w:tcW w:type="dxa" w:w="3000"/>
            <w:tcMar>
              <w:top w:type="dxa" w:w="80"/>
              <w:left w:type="dxa" w:w="120"/>
              <w:bottom w:type="dxa" w:w="80"/>
              <w:right w:type="dxa" w:w="120"/>
            </w:tcMar>
          </w:tcPr>
          <w:p>
            <w:pPr>
              <w:spacing w:after="60" w:before="60"/>
            </w:pPr>
            <w:r>
              <w:rPr>
                <w:rFonts w:ascii="Times New Roman" w:cs="Times New Roman" w:eastAsia="Times New Roman" w:hAnsi="Times New Roman"/>
                <w:b w:val="false"/>
                <w:bCs w:val="false"/>
                <w:sz w:val="20"/>
                <w:szCs w:val="20"/>
              </w:rPr>
              <w:t xml:space="preserve">Moderate (parsing and drafting stages dominant)</w:t>
            </w:r>
          </w:p>
        </w:tc>
        <w:tc>
          <w:tcPr>
            <w:tcW w:type="dxa" w:w="3000"/>
            <w:tcMar>
              <w:top w:type="dxa" w:w="80"/>
              <w:left w:type="dxa" w:w="120"/>
              <w:bottom w:type="dxa" w:w="80"/>
              <w:right w:type="dxa" w:w="120"/>
            </w:tcMar>
          </w:tcPr>
          <w:p>
            <w:pPr>
              <w:spacing w:after="60" w:before="60"/>
            </w:pPr>
            <w:r>
              <w:rPr>
                <w:rFonts w:ascii="Times New Roman" w:cs="Times New Roman" w:eastAsia="Times New Roman" w:hAnsi="Times New Roman"/>
                <w:b w:val="false"/>
                <w:bCs w:val="false"/>
                <w:sz w:val="20"/>
                <w:szCs w:val="20"/>
              </w:rPr>
              <w:t xml:space="preserve">N/A</w:t>
            </w:r>
          </w:p>
        </w:tc>
      </w:tr>
      <w:tr>
        <w:tc>
          <w:tcPr>
            <w:tcW w:type="dxa" w:w="2800"/>
            <w:shd w:fill="EBF3FB" w:color="auto" w:val="clear"/>
            <w:tcMar>
              <w:top w:type="dxa" w:w="80"/>
              <w:left w:type="dxa" w:w="120"/>
              <w:bottom w:type="dxa" w:w="80"/>
              <w:right w:type="dxa" w:w="120"/>
            </w:tcMar>
          </w:tcPr>
          <w:p>
            <w:pPr>
              <w:spacing w:after="60" w:before="60"/>
            </w:pPr>
            <w:r>
              <w:rPr>
                <w:rFonts w:ascii="Times New Roman" w:cs="Times New Roman" w:eastAsia="Times New Roman" w:hAnsi="Times New Roman"/>
                <w:b/>
                <w:bCs/>
                <w:sz w:val="20"/>
                <w:szCs w:val="20"/>
              </w:rPr>
              <w:t xml:space="preserve">Estimated Execution Cost</w:t>
            </w:r>
          </w:p>
        </w:tc>
        <w:tc>
          <w:tcPr>
            <w:tcW w:type="dxa" w:w="3000"/>
            <w:shd w:fill="EBF3FB" w:color="auto"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sz w:val="20"/>
                <w:szCs w:val="20"/>
              </w:rPr>
              <w:t xml:space="preserve">Low single-digit USD</w:t>
            </w:r>
          </w:p>
        </w:tc>
        <w:tc>
          <w:tcPr>
            <w:tcW w:type="dxa" w:w="3000"/>
            <w:shd w:fill="EBF3FB" w:color="auto"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sz w:val="20"/>
                <w:szCs w:val="20"/>
              </w:rPr>
              <w:t xml:space="preserve">N/A (researcher labor cost)</w:t>
            </w:r>
          </w:p>
        </w:tc>
      </w:tr>
      <w:tr>
        <w:tc>
          <w:tcPr>
            <w:tcW w:type="dxa" w:w="2800"/>
            <w:tcMar>
              <w:top w:type="dxa" w:w="80"/>
              <w:left w:type="dxa" w:w="120"/>
              <w:bottom w:type="dxa" w:w="80"/>
              <w:right w:type="dxa" w:w="120"/>
            </w:tcMar>
          </w:tcPr>
          <w:p>
            <w:pPr>
              <w:spacing w:after="60" w:before="60"/>
            </w:pPr>
            <w:r>
              <w:rPr>
                <w:rFonts w:ascii="Times New Roman" w:cs="Times New Roman" w:eastAsia="Times New Roman" w:hAnsi="Times New Roman"/>
                <w:b/>
                <w:bCs/>
                <w:sz w:val="20"/>
                <w:szCs w:val="20"/>
              </w:rPr>
              <w:t xml:space="preserve">Parsing Agreement - Methodology/Results</w:t>
            </w:r>
          </w:p>
        </w:tc>
        <w:tc>
          <w:tcPr>
            <w:tcW w:type="dxa" w:w="3000"/>
            <w:tcMar>
              <w:top w:type="dxa" w:w="80"/>
              <w:left w:type="dxa" w:w="120"/>
              <w:bottom w:type="dxa" w:w="80"/>
              <w:right w:type="dxa" w:w="120"/>
            </w:tcMar>
          </w:tcPr>
          <w:p>
            <w:pPr>
              <w:spacing w:after="60" w:before="60"/>
            </w:pPr>
            <w:r>
              <w:rPr>
                <w:rFonts w:ascii="Times New Roman" w:cs="Times New Roman" w:eastAsia="Times New Roman" w:hAnsi="Times New Roman"/>
                <w:b w:val="false"/>
                <w:bCs w:val="false"/>
                <w:sz w:val="20"/>
                <w:szCs w:val="20"/>
              </w:rPr>
              <w:t xml:space="preserve">High agreement vs. human annotation</w:t>
            </w:r>
          </w:p>
        </w:tc>
        <w:tc>
          <w:tcPr>
            <w:tcW w:type="dxa" w:w="3000"/>
            <w:tcMar>
              <w:top w:type="dxa" w:w="80"/>
              <w:left w:type="dxa" w:w="120"/>
              <w:bottom w:type="dxa" w:w="80"/>
              <w:right w:type="dxa" w:w="120"/>
            </w:tcMar>
          </w:tcPr>
          <w:p>
            <w:pPr>
              <w:spacing w:after="60" w:before="60"/>
            </w:pPr>
            <w:r>
              <w:rPr>
                <w:rFonts w:ascii="Times New Roman" w:cs="Times New Roman" w:eastAsia="Times New Roman" w:hAnsi="Times New Roman"/>
                <w:b w:val="false"/>
                <w:bCs w:val="false"/>
                <w:sz w:val="20"/>
                <w:szCs w:val="20"/>
              </w:rPr>
              <w:t xml:space="preserve">Reference standard</w:t>
            </w:r>
          </w:p>
        </w:tc>
      </w:tr>
      <w:tr>
        <w:tc>
          <w:tcPr>
            <w:tcW w:type="dxa" w:w="2800"/>
            <w:shd w:fill="EBF3FB" w:color="auto" w:val="clear"/>
            <w:tcMar>
              <w:top w:type="dxa" w:w="80"/>
              <w:left w:type="dxa" w:w="120"/>
              <w:bottom w:type="dxa" w:w="80"/>
              <w:right w:type="dxa" w:w="120"/>
            </w:tcMar>
          </w:tcPr>
          <w:p>
            <w:pPr>
              <w:spacing w:after="60" w:before="60"/>
            </w:pPr>
            <w:r>
              <w:rPr>
                <w:rFonts w:ascii="Times New Roman" w:cs="Times New Roman" w:eastAsia="Times New Roman" w:hAnsi="Times New Roman"/>
                <w:b/>
                <w:bCs/>
                <w:sz w:val="20"/>
                <w:szCs w:val="20"/>
              </w:rPr>
              <w:t xml:space="preserve">Parsing Agreement - Limitations Field</w:t>
            </w:r>
          </w:p>
        </w:tc>
        <w:tc>
          <w:tcPr>
            <w:tcW w:type="dxa" w:w="3000"/>
            <w:shd w:fill="EBF3FB" w:color="auto"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sz w:val="20"/>
                <w:szCs w:val="20"/>
              </w:rPr>
              <w:t xml:space="preserve">Moderate agreement vs. human annotation</w:t>
            </w:r>
          </w:p>
        </w:tc>
        <w:tc>
          <w:tcPr>
            <w:tcW w:type="dxa" w:w="3000"/>
            <w:shd w:fill="EBF3FB" w:color="auto"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sz w:val="20"/>
                <w:szCs w:val="20"/>
              </w:rPr>
              <w:t xml:space="preserve">Reference standard</w:t>
            </w:r>
          </w:p>
        </w:tc>
      </w:tr>
      <w:tr>
        <w:tc>
          <w:tcPr>
            <w:tcW w:type="dxa" w:w="2800"/>
            <w:tcMar>
              <w:top w:type="dxa" w:w="80"/>
              <w:left w:type="dxa" w:w="120"/>
              <w:bottom w:type="dxa" w:w="80"/>
              <w:right w:type="dxa" w:w="120"/>
            </w:tcMar>
          </w:tcPr>
          <w:p>
            <w:pPr>
              <w:spacing w:after="60" w:before="60"/>
            </w:pPr>
            <w:r>
              <w:rPr>
                <w:rFonts w:ascii="Times New Roman" w:cs="Times New Roman" w:eastAsia="Times New Roman" w:hAnsi="Times New Roman"/>
                <w:b/>
                <w:bCs/>
                <w:sz w:val="20"/>
                <w:szCs w:val="20"/>
              </w:rPr>
              <w:t xml:space="preserve">Human Equivalence Score (manual hrs / auto hrs)</w:t>
            </w:r>
          </w:p>
        </w:tc>
        <w:tc>
          <w:tcPr>
            <w:tcW w:type="dxa" w:w="3000"/>
            <w:tcMar>
              <w:top w:type="dxa" w:w="80"/>
              <w:left w:type="dxa" w:w="120"/>
              <w:bottom w:type="dxa" w:w="80"/>
              <w:right w:type="dxa" w:w="120"/>
            </w:tcMar>
          </w:tcPr>
          <w:p>
            <w:pPr>
              <w:spacing w:after="60" w:before="60"/>
            </w:pPr>
            <w:r>
              <w:rPr>
                <w:rFonts w:ascii="Times New Roman" w:cs="Times New Roman" w:eastAsia="Times New Roman" w:hAnsi="Times New Roman"/>
                <w:b w:val="false"/>
                <w:bCs w:val="false"/>
                <w:sz w:val="20"/>
                <w:szCs w:val="20"/>
              </w:rPr>
              <w:t xml:space="preserve">~50-100x</w:t>
            </w:r>
          </w:p>
        </w:tc>
        <w:tc>
          <w:tcPr>
            <w:tcW w:type="dxa" w:w="3000"/>
            <w:tcMar>
              <w:top w:type="dxa" w:w="80"/>
              <w:left w:type="dxa" w:w="120"/>
              <w:bottom w:type="dxa" w:w="80"/>
              <w:right w:type="dxa" w:w="120"/>
            </w:tcMar>
          </w:tcPr>
          <w:p>
            <w:pPr>
              <w:spacing w:after="60" w:before="60"/>
            </w:pPr>
            <w:r>
              <w:rPr>
                <w:rFonts w:ascii="Times New Roman" w:cs="Times New Roman" w:eastAsia="Times New Roman" w:hAnsi="Times New Roman"/>
                <w:b w:val="false"/>
                <w:bCs w:val="false"/>
                <w:sz w:val="20"/>
                <w:szCs w:val="20"/>
              </w:rPr>
              <w:t xml:space="preserve">1x (reference)</w:t>
            </w:r>
          </w:p>
        </w:tc>
      </w:tr>
    </w:tbl>
    <w:p>
      <w:pPr>
        <w:spacing w:after="160" w:before="400"/>
      </w:pPr>
      <w:r>
        <w:rPr>
          <w:rFonts w:ascii="Times New Roman" w:cs="Times New Roman" w:eastAsia="Times New Roman" w:hAnsi="Times New Roman"/>
          <w:b/>
          <w:bCs/>
          <w:sz w:val="28"/>
          <w:szCs w:val="28"/>
        </w:rPr>
        <w:t xml:space="preserve">5. Discussion, Limitations, and Future Work</w:t>
      </w:r>
    </w:p>
    <w:p>
      <w:pPr>
        <w:spacing w:after="120" w:before="280"/>
      </w:pPr>
      <w:r>
        <w:rPr>
          <w:rFonts w:ascii="Times New Roman" w:cs="Times New Roman" w:eastAsia="Times New Roman" w:hAnsi="Times New Roman"/>
          <w:b/>
          <w:bCs/>
          <w:i/>
          <w:iCs/>
          <w:sz w:val="26"/>
          <w:szCs w:val="26"/>
        </w:rPr>
        <w:t xml:space="preserve">5.1 System Limitations</w:t>
      </w:r>
    </w:p>
    <w:p>
      <w:pPr>
        <w:spacing w:after="160" w:before="0" w:line="480" w:lineRule="auto"/>
        <w:jc w:val="both"/>
      </w:pPr>
      <w:r>
        <w:rPr>
          <w:rFonts w:ascii="Times New Roman" w:cs="Times New Roman" w:eastAsia="Times New Roman" w:hAnsi="Times New Roman"/>
          <w:sz w:val="24"/>
          <w:szCs w:val="24"/>
        </w:rPr>
        <w:t xml:space="preserve">While the proposed framework demonstrates substantial efficiency gains over manual literature review workflows, several technical boundaries must be acknowledged. The most significant constraint arises from LLM context-window limits when processing large document anthologies. Although the chunking strategy employed by Agent 1 mitigates per-document context overflow, Agent 2's cross-paper comparison operation grows in context demand as corpus size increases. For the fifteen-paper configuration evaluated in Section 4, this remains tractable; however, for substantially larger corpora spanning fifty or more sources, the comparison stage would require either hierarchical batching of the comparison matrix or a retrieval-augmented comparison step in which only the most relevant subset of records is loaded into context for any given synthesis sub-task, neither of which is implemented in the current architecture.</w:t>
      </w:r>
    </w:p>
    <w:p>
      <w:pPr>
        <w:spacing w:after="160" w:before="0" w:line="480" w:lineRule="auto"/>
        <w:jc w:val="both"/>
      </w:pPr>
      <w:r>
        <w:rPr>
          <w:rFonts w:ascii="Times New Roman" w:cs="Times New Roman" w:eastAsia="Times New Roman" w:hAnsi="Times New Roman"/>
          <w:sz w:val="24"/>
          <w:szCs w:val="24"/>
        </w:rPr>
        <w:t xml:space="preserve">A second limitation concerns access to locked or paywalled publisher PDFs. For documents behind institutional or commercial paywalls, the framework currently falls back to abstract-only processing for Agent 1, which constrains the granularity of the extracted four-pillar records, particularly for the methodology and results fields. This limitation introduces a potential coverage bias toward open-access venues that should be disclosed when the framework's outputs are used in formal review documents.</w:t>
      </w:r>
    </w:p>
    <w:p>
      <w:pPr>
        <w:spacing w:after="160" w:before="0" w:line="480" w:lineRule="auto"/>
        <w:jc w:val="both"/>
      </w:pPr>
      <w:r>
        <w:rPr>
          <w:rFonts w:ascii="Times New Roman" w:cs="Times New Roman" w:eastAsia="Times New Roman" w:hAnsi="Times New Roman"/>
          <w:sz w:val="24"/>
          <w:szCs w:val="24"/>
        </w:rPr>
        <w:t xml:space="preserve">A third and more subtle limitation concerns edge-case agent hallucination within Agent 3's narrative drafting operation. Although the structured comparison matrix produced by Agent 2 is designed to constrain Agent 3's outputs to traceable, source-grounded content, isolated instances were observed in which the drafting agent introduced minor elaborations not strictly present in the underlying extracted record. While the automated verification loop is designed to flag such discrepancies, this verification is itself LLM-based and therefore not infallible; residual hallucination risk at the narrative layer should be treated as a known limitation requiring human review of the final draft prior to submission.</w:t>
      </w:r>
    </w:p>
    <w:p>
      <w:pPr>
        <w:spacing w:after="120" w:before="280"/>
      </w:pPr>
      <w:r>
        <w:rPr>
          <w:rFonts w:ascii="Times New Roman" w:cs="Times New Roman" w:eastAsia="Times New Roman" w:hAnsi="Times New Roman"/>
          <w:b/>
          <w:bCs/>
          <w:i/>
          <w:iCs/>
          <w:sz w:val="26"/>
          <w:szCs w:val="26"/>
        </w:rPr>
        <w:t xml:space="preserve">5.2 Future Research Directions</w:t>
      </w:r>
    </w:p>
    <w:p>
      <w:pPr>
        <w:spacing w:after="160" w:before="0" w:line="480" w:lineRule="auto"/>
        <w:jc w:val="both"/>
      </w:pPr>
      <w:r>
        <w:rPr>
          <w:rFonts w:ascii="Times New Roman" w:cs="Times New Roman" w:eastAsia="Times New Roman" w:hAnsi="Times New Roman"/>
          <w:sz w:val="24"/>
          <w:szCs w:val="24"/>
        </w:rPr>
        <w:t xml:space="preserve">The integration of multi-modal agents capable of parsing figures, charts, equations, and tables represents a direct extension of Agent 1's current text-centric extraction pipeline. A substantial proportion of a paper's empirical claims are presented in tabular or graphical form rather than prose, and a parsing agent restricted to text extraction necessarily under-represents this content. Incorporating vision-language model components capable of interpreting chart axes, table structures, and inline mathematical notation would allow the four-pillar extraction, particularly the Key Results field, to draw directly on quantitative figures and tables, improving both completeness and accuracy of the downstream comparison matrix.</w:t>
      </w:r>
    </w:p>
    <w:p>
      <w:pPr>
        <w:spacing w:after="160" w:before="0" w:line="480" w:lineRule="auto"/>
        <w:jc w:val="both"/>
      </w:pPr>
      <w:r>
        <w:rPr>
          <w:rFonts w:ascii="Times New Roman" w:cs="Times New Roman" w:eastAsia="Times New Roman" w:hAnsi="Times New Roman"/>
          <w:sz w:val="24"/>
          <w:szCs w:val="24"/>
        </w:rPr>
        <w:t xml:space="preserve">A second direction involves the application of reinforcement learning from human feedback (RLHF), or related preference-optimization techniques, to Agent 3's drafting and verification operations. Rather than relying on static prompt engineering to constrain narrative quality and citation fidelity, a feedback loop in which researcher corrections to draft outputs are captured and used to fine-tune agent behavior over time would allow the framework to adapt to domain-specific or venue-specific stylistic conventions and progressively reduce the residual hallucination rate.</w:t>
      </w:r>
    </w:p>
    <w:p>
      <w:pPr>
        <w:spacing w:after="160" w:before="0" w:line="480" w:lineRule="auto"/>
        <w:jc w:val="both"/>
      </w:pPr>
      <w:r>
        <w:rPr>
          <w:rFonts w:ascii="Times New Roman" w:cs="Times New Roman" w:eastAsia="Times New Roman" w:hAnsi="Times New Roman"/>
          <w:sz w:val="24"/>
          <w:szCs w:val="24"/>
        </w:rPr>
        <w:t xml:space="preserve">A third direction concerns the deployment of local, open-weights LLMs in place of externally hosted API-based models. For research contexts involving sensitive, embargoed, or institutionally restricted source material, routing document content through third-party API endpoints may be undesirable or impermissible. A locally deployed open-weights model, integrated into the same agent-graph architecture, would allow the framework to operate entirely within an institution's own computational infrastructure, at the cost of the throughput and latency characteristics reported in Section 4, quantifying which latency-privacy trade-off constitutes a direct empirical extension of the present evaluation.</w:t>
      </w:r>
    </w:p>
    <w:p>
      <w:pPr>
        <w:spacing w:after="160" w:before="0" w:line="480" w:lineRule="auto"/>
        <w:jc w:val="both"/>
      </w:pPr>
      <w:r>
        <w:rPr>
          <w:rFonts w:ascii="Times New Roman" w:cs="Times New Roman" w:eastAsia="Times New Roman" w:hAnsi="Times New Roman"/>
          <w:sz w:val="24"/>
          <w:szCs w:val="24"/>
        </w:rPr>
        <w:t xml:space="preserve">Finally, the conditional re-invocation pathways described in Section 3.1, namely supplementary retrieval triggered by gap analysis and query re-enhancement triggered by retrieval inadequacy, warrant dedicated ablation study to quantify their individual contribution to corpus coverage and final review quality relative to a non-iterative variant of the pipeline, extending the ablation methodology applied to earlier agentic retrieval systems discussed in Section 2.</w:t>
      </w:r>
    </w:p>
    <w:p>
      <w:pPr>
        <w:spacing w:after="160" w:before="400"/>
      </w:pPr>
      <w:r>
        <w:rPr>
          <w:rFonts w:ascii="Times New Roman" w:cs="Times New Roman" w:eastAsia="Times New Roman" w:hAnsi="Times New Roman"/>
          <w:b/>
          <w:bCs/>
          <w:sz w:val="28"/>
          <w:szCs w:val="28"/>
        </w:rPr>
        <w:t xml:space="preserve">6. Conclusion</w:t>
      </w:r>
    </w:p>
    <w:p>
      <w:pPr>
        <w:spacing w:after="160" w:before="0" w:line="480" w:lineRule="auto"/>
        <w:jc w:val="both"/>
      </w:pPr>
      <w:r>
        <w:rPr>
          <w:rFonts w:ascii="Times New Roman" w:cs="Times New Roman" w:eastAsia="Times New Roman" w:hAnsi="Times New Roman"/>
          <w:sz w:val="24"/>
          <w:szCs w:val="24"/>
        </w:rPr>
        <w:t xml:space="preserve">This paper has presented a cascading, graph-orchestrated multi-agent framework that automates the end-to-end academic literature review pipeline, from raw natural-language query to a structured, citation-grounded synthesis document, without requiring manual intervention at any intermediate stage. By decomposing the review process into a sequence of role-bound agents, namely query enhancement, automated multi-source retrieval, document curation and parsing, critical cross-paper analysis, and editorial meta-review drafting, each governed by a perception-reflection-action execution loop and connected through a typed, persistent shared state, the framework operationalizes the agentic design principles surveyed in Section 2 within a domain that prior work had identified as high-potential but underexplored. The evaluation presented in Section 4 demonstrates that a fifteen-paper literature review, a task that conventionally requires several days of dedicated researcher effort, can be completed end-to-end in under thirty minutes of automated execution, at a marginal computational cost, while maintaining high extraction agreement with human annotation on core methodological and empirical fields. Beyond the specific efficiency figures reported, the broader significance of this framework lies in its demonstration that the cascading multi-agent pattern, validated in narrow domains such as biomedical evidence classification, generalizes effectively to the open-ended, cross-domain task of academic synthesis itself. As the volume of scholarly publication continues to outpace the capacity of manual review processes, frameworks of this kind offer a structurally scalable path forward, one in which the cognitive labor of literature synthesis is not eliminated but redirected, freeing researchers to focus on the interpretive and creative dimensions of scientific inquiry that remain irreducibly human, while the systematic, repetitive, and increasingly unsustainable burden of literature aggregation is absorbed by an autonomous, verifiable, and continuously improvable agentic pipeline.</w:t>
      </w:r>
    </w:p>
    <w:p>
      <w:pPr>
        <w:spacing w:after="160" w:before="400"/>
      </w:pPr>
      <w:r>
        <w:rPr>
          <w:rFonts w:ascii="Times New Roman" w:cs="Times New Roman" w:eastAsia="Times New Roman" w:hAnsi="Times New Roman"/>
          <w:b/>
          <w:bCs/>
          <w:sz w:val="28"/>
          <w:szCs w:val="28"/>
        </w:rPr>
        <w:t xml:space="preserve">References</w:t>
      </w:r>
    </w:p>
    <w:p>
      <w:pPr>
        <w:spacing w:after="160" w:before="0" w:line="480" w:lineRule="auto"/>
        <w:jc w:val="both"/>
      </w:pPr>
      <w:r>
        <w:rPr>
          <w:rFonts w:ascii="Times New Roman" w:cs="Times New Roman" w:eastAsia="Times New Roman" w:hAnsi="Times New Roman"/>
          <w:sz w:val="24"/>
          <w:szCs w:val="24"/>
        </w:rPr>
        <w:t xml:space="preserve">[Formal reference list to be inserted here, formatted according to the target venue's citation style (e.g., IEEE), consolidating all in-text citations from Sections 1 through 6. Suggested categories: (1) LangGraph and agent-orchestration framework documentation; (2) Retrieval-Augmented Generation survey literature (Gao et al., 2024); (3) Multi-agent framework papers (AutoGen — Wu et al., 2024; AgentBench — Liu et al., 2024; MedAgents — Tang et al., 2024); (4) Biomedical literature retrieval and evaluation works (Jin et al., 2024; AgentClinic — Schmidgall et al., 2025; MedGraph, 2026); (5) Agentic AI survey and taxonomy works (Acharya et al., 2025; Moralles et al., 2026; Hosseini and Seilani, 2025; Karunayake, 2025); (6) Failure-mode and evaluation methodology works from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2026-07-01T08:13:06.023Z</dcterms:created>
  <dcterms:modified xsi:type="dcterms:W3CDTF">2026-07-01T08:13:06.023Z</dcterms:modified>
</cp:coreProperties>
</file>

<file path=docProps/custom.xml><?xml version="1.0" encoding="utf-8"?>
<Properties xmlns="http://schemas.openxmlformats.org/officeDocument/2006/custom-properties" xmlns:vt="http://schemas.openxmlformats.org/officeDocument/2006/docPropsVTypes"/>
</file>