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100" w:before="0"/>
        <w:jc w:val="center"/>
      </w:pPr>
      <w:r>
        <w:rPr>
          <w:rFonts w:ascii="Times New Roman" w:cs="Times New Roman" w:eastAsia="Times New Roman" w:hAnsi="Times New Roman"/>
          <w:b/>
          <w:bCs/>
          <w:sz w:val="26"/>
          <w:szCs w:val="26"/>
        </w:rPr>
        <w:t xml:space="preserve">Abstract</w:t>
      </w:r>
    </w:p>
    <w:p>
      <w:pPr>
        <w:spacing w:after="120" w:before="0" w:line="276"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[21][26]. While Large Language Models (LLMs) have demonstrated competence in isolated subtasks such as summarization and clinical question answering [4][27], static single-pass prompting architectures remain structurally incapable of replicating the iterative, evaluative, and self-correcting nature of human scholarly review. This paper presents a cascading multi-agent framework — implemented as MedGraph using the LangGraph orchestration engine [8] — that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[2][35] and orchestrated through dynamic state-routing across a shared typed state graph [8]. Distinct agents are responsible for MeSH-augmented query enhancement [7][17], automated PubMed retrieval via NCBI E-utilities [6][16], evidence-strength classification by study design, human-in-the-loop email collection, and asynchronous SMTP-based report delivery [32].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pPr>
        <w:spacing w:after="24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LangGraph, Multi-Agent Systems, PubMed Retrieval, NCBI E-utilities, MeSH Query Enhancement, Biomedical Evidence Synthesis, Human-in-the-Loop, ReAct, SMTP Delivery</w:t>
      </w:r>
    </w:p>
    <w:p>
      <w:pPr>
        <w:spacing w:after="120" w:before="300"/>
      </w:pPr>
      <w:r>
        <w:rPr>
          <w:rFonts w:ascii="Times New Roman" w:cs="Times New Roman" w:eastAsia="Times New Roman" w:hAnsi="Times New Roman"/>
          <w:b/>
          <w:bCs/>
          <w:sz w:val="28"/>
          <w:szCs w:val="28"/>
        </w:rPr>
        <w:t xml:space="preserve">1. Introduction</w:t>
      </w:r>
    </w:p>
    <w:p>
      <w:pPr>
        <w:spacing w:after="120" w:before="0" w:line="276" w:lineRule="auto"/>
        <w:jc w:val="both"/>
      </w:pPr>
      <w:r>
        <w:rPr>
          <w:rFonts w:ascii="Times New Roman" w:cs="Times New Roman" w:eastAsia="Times New Roman" w:hAnsi="Times New Roman"/>
          <w:sz w:val="24"/>
          <w:szCs w:val="24"/>
        </w:rPr>
        <w:t xml:space="preserve">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review — query formulation, retrieval, study-type classification, and summarization — autonomously and reliably [4][24].</w:t>
      </w:r>
    </w:p>
    <w:p>
      <w:pPr>
        <w:spacing w:after="120" w:before="0" w:line="276" w:lineRule="auto"/>
        <w:jc w:val="both"/>
      </w:pPr>
      <w:r>
        <w:rPr>
          <w:rFonts w:ascii="Times New Roman" w:cs="Times New Roman" w:eastAsia="Times New Roman" w:hAnsi="Times New Roman"/>
          <w:sz w:val="24"/>
          <w:szCs w:val="24"/>
        </w:rPr>
        <w:t xml:space="preserve">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pPr>
        <w:spacing w:after="120" w:before="0" w:line="276" w:lineRule="auto"/>
        <w:jc w:val="both"/>
      </w:pPr>
      <w:r>
        <w:rPr>
          <w:rFonts w:ascii="Times New Roman" w:cs="Times New Roman" w:eastAsia="Times New Roman" w:hAnsi="Times New Roman"/>
          <w:sz w:val="24"/>
          <w:szCs w:val="24"/>
        </w:rPr>
        <w:t xml:space="preserve">The LangGraph framework [8], building on the LangChain tooling ecosystem [15], provides precisely this substrate: a directed graph of typed agent nodes with conditional routing edges, a MemorySaver checkpointer that persists full state across long-running sessions, and an interrupt() primitive enabling human-in-the-loop pauses that can be resumed without recomputing completed stages. The ReAct (Reason-Act) pattern [2] further provides the agent-level control loop in which each agent interleaves reasoning traces with tool invocations — for the MedGraph system, the critical tool being the NCBI E-utilities API [6] for structured PubMed retrieval.</w:t>
      </w:r>
    </w:p>
    <w:p>
      <w:pPr>
        <w:spacing w:after="120" w:before="0" w:line="276" w:lineRule="auto"/>
        <w:jc w:val="both"/>
      </w:pPr>
      <w:r>
        <w:rPr>
          <w:rFonts w:ascii="Times New Roman" w:cs="Times New Roman" w:eastAsia="Times New Roman" w:hAnsi="Times New Roman"/>
          <w:sz w:val="24"/>
          <w:szCs w:val="24"/>
        </w:rPr>
        <w:t xml:space="preserve">This paper presents MedGraph, a concrete implementation of these principles: a four-agent LangGraph pipeline that accepts a natural-language biomedical query, enhances it with MeSH-augmented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(MedResearchState) and MemorySaver checkpointing [8]; (2) a MeSH-augmented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pPr>
        <w:spacing w:after="120" w:before="300"/>
      </w:pPr>
      <w:r>
        <w:rPr>
          <w:rFonts w:ascii="Times New Roman" w:cs="Times New Roman" w:eastAsia="Times New Roman" w:hAnsi="Times New Roman"/>
          <w:b/>
          <w:bCs/>
          <w:sz w:val="28"/>
          <w:szCs w:val="28"/>
        </w:rPr>
        <w:t xml:space="preserve">2. Literature Review</w:t>
      </w:r>
    </w:p>
    <w:p>
      <w:pPr>
        <w:spacing w:after="120" w:before="0" w:line="276" w:lineRule="auto"/>
        <w:jc w:val="both"/>
      </w:pPr>
      <w:r>
        <w:rPr>
          <w:rFonts w:ascii="Times New Roman" w:cs="Times New Roman" w:eastAsia="Times New Roman" w:hAnsi="Times New Roman"/>
          <w:sz w:val="24"/>
          <w:szCs w:val="24"/>
        </w:rPr>
        <w:t xml:space="preserve">This section analyzes 13 representative works from 2020 to 2026, organized chronologically, each examined along four pillars: problem addressed, methodology, key results, and limitations motivating the MedGraph design.</w:t>
      </w:r>
    </w:p>
    <w:p>
      <w:pPr>
        <w:spacing w:after="100" w:before="200"/>
      </w:pPr>
      <w:r>
        <w:rPr>
          <w:rFonts w:ascii="Times New Roman" w:cs="Times New Roman" w:eastAsia="Times New Roman" w:hAnsi="Times New Roman"/>
          <w:b/>
          <w:bCs/>
          <w:i/>
          <w:iCs/>
          <w:sz w:val="26"/>
          <w:szCs w:val="26"/>
        </w:rPr>
        <w:t xml:space="preserve">2.1 Foundational Retrieval and Reasoning Work (2020-2022)</w:t>
      </w:r>
    </w:p>
    <w:p>
      <w:pPr>
        <w:spacing w:after="120" w:before="0" w:line="276" w:lineRule="auto"/>
        <w:jc w:val="both"/>
      </w:pPr>
      <w:r>
        <w:rPr>
          <w:rFonts w:ascii="Times New Roman" w:cs="Times New Roman" w:eastAsia="Times New Roman" w:hAnsi="Times New Roman"/>
          <w:sz w:val="24"/>
          <w:szCs w:val="24"/>
        </w:rPr>
        <w:t xml:space="preserve">Lewis et al. [1] introduced Retrieval-Augmented Generation (RAG), demonstrating that grounding LLM generation in dynamically retrieved passages substantially reduces hallucination on knowledge-intensive tasks —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[3] demonstrated that chain-of-thought prompting unlocks emergent multi-step reasoning in large models, providing the theoretical basis for the reasoning trace component of the ReAct loop [2] used in the med_query_ingestor agent.</w:t>
      </w:r>
    </w:p>
    <w:p>
      <w:pPr>
        <w:spacing w:after="120" w:before="0" w:line="276" w:lineRule="auto"/>
        <w:jc w:val="both"/>
      </w:pPr>
      <w:r>
        <w:rPr>
          <w:rFonts w:ascii="Times New Roman" w:cs="Times New Roman" w:eastAsia="Times New Roman" w:hAnsi="Times New Roman"/>
          <w:sz w:val="24"/>
          <w:szCs w:val="24"/>
        </w:rPr>
        <w:t xml:space="preserve">The NCBI E-utilities API [6] provides programmatic access to PubMed's 35+ million biomedical citations via a three-step pipeline — esearch (ID retrieval), esummary (metadata), and efetch (abstract and full-text content) — constituting the primary retrieval substrate of MedGraph's ingestor agent. Medical Subject Headings (MeSH) [7][17], maintained by the National Library of Medicine, provide the controlled vocabulary used by the MedGraph query enhancement component to expand raw clinical queries into precision search expressions, appending [Mesh] field tags, hasabstract filters, and date-range constraints to ensure abstract availability and recency.</w:t>
      </w:r>
    </w:p>
    <w:p>
      <w:pPr>
        <w:spacing w:after="100" w:before="200"/>
      </w:pPr>
      <w:r>
        <w:rPr>
          <w:rFonts w:ascii="Times New Roman" w:cs="Times New Roman" w:eastAsia="Times New Roman" w:hAnsi="Times New Roman"/>
          <w:b/>
          <w:bCs/>
          <w:i/>
          <w:iCs/>
          <w:sz w:val="26"/>
          <w:szCs w:val="26"/>
        </w:rPr>
        <w:t xml:space="preserve">2.2 Biomedical NLP and Evidence Classification (2021-2023)</w:t>
      </w:r>
    </w:p>
    <w:p>
      <w:pPr>
        <w:spacing w:after="120" w:before="0" w:line="276" w:lineRule="auto"/>
        <w:jc w:val="both"/>
      </w:pPr>
      <w:r>
        <w:rPr>
          <w:rFonts w:ascii="Times New Roman" w:cs="Times New Roman" w:eastAsia="Times New Roman" w:hAnsi="Times New Roman"/>
          <w:sz w:val="24"/>
          <w:szCs w:val="24"/>
        </w:rPr>
        <w:t xml:space="preserve">Singhal et al. [4] demonstrated that large-scale biomedical instruction tuning enables LLMs to achieve expert-level performance on medical QA benchmarks, establishing that LLMs encode sufficient clinical knowledge to classify study designs and interpret methodological descriptions — the capability the MedGraph med_evidence_builder agent exploits for its ten-category study-type taxonomy. Jin et al. [5] quantified the gap between parametric LLM knowledge and literature-grounded answers in biomedical QA, motivating the MedGraph system's fundamental design choice of grounding classification in retrieved PubMed abstracts rather than parametric knowledge alone.</w:t>
      </w:r>
    </w:p>
    <w:p>
      <w:pPr>
        <w:spacing w:after="120" w:before="0" w:line="276" w:lineRule="auto"/>
        <w:jc w:val="both"/>
      </w:pPr>
      <w:r>
        <w:rPr>
          <w:rFonts w:ascii="Times New Roman" w:cs="Times New Roman" w:eastAsia="Times New Roman" w:hAnsi="Times New Roman"/>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 the three-tier badge classification (strong/moderate/preliminary) implemented in MedGraph's evidence builder directly operationalizes this hierarchy. The Cochrane Handbook [23] provides the methodological reference for study design identification criteria, which MedGraph's evidence builder prompt operationalizes through keyword-matching heuristics for each of its ten recognized study-design categories. Tirunagari et al. [24] demonstrated automated extraction of structured information from PubMed abstracts using NLP, validating the feasibility of the structured record extraction approach employed by MedGraph's evidence builder.</w:t>
      </w:r>
    </w:p>
    <w:p>
      <w:pPr>
        <w:spacing w:after="100" w:before="200"/>
      </w:pPr>
      <w:r>
        <w:rPr>
          <w:rFonts w:ascii="Times New Roman" w:cs="Times New Roman" w:eastAsia="Times New Roman" w:hAnsi="Times New Roman"/>
          <w:b/>
          <w:bCs/>
          <w:i/>
          <w:iCs/>
          <w:sz w:val="26"/>
          <w:szCs w:val="26"/>
        </w:rPr>
        <w:t xml:space="preserve">2.3 Agentic Orchestration and Multi-Agent Systems (2023-2025)</w:t>
      </w:r>
    </w:p>
    <w:p>
      <w:pPr>
        <w:spacing w:after="120" w:before="0" w:line="276" w:lineRule="auto"/>
        <w:jc w:val="both"/>
      </w:pPr>
      <w:r>
        <w:rPr>
          <w:rFonts w:ascii="Times New Roman" w:cs="Times New Roman" w:eastAsia="Times New Roman" w:hAnsi="Times New Roman"/>
          <w:sz w:val="24"/>
          <w:szCs w:val="24"/>
        </w:rPr>
        <w:t xml:space="preserve">Yao et al. [2]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create_react_agent() function, directly instantiating this pattern with the pubmed_to_pmc_full_text_search tool as its only action. Schick et al. [25] independently demonstrated that tool use can be taught to LLMs via self-supervised learning, further establishing the reliability of tool-invocation patterns that MedGraph depends on.</w:t>
      </w:r>
    </w:p>
    <w:p>
      <w:pPr>
        <w:spacing w:after="120" w:before="0" w:line="276" w:lineRule="auto"/>
        <w:jc w:val="both"/>
      </w:pPr>
      <w:r>
        <w:rPr>
          <w:rFonts w:ascii="Times New Roman" w:cs="Times New Roman" w:eastAsia="Times New Roman" w:hAnsi="Times New Roman"/>
          <w:sz w:val="24"/>
          <w:szCs w:val="24"/>
        </w:rPr>
        <w:t xml:space="preserve">LangChain AI [8][15] produced both the LangChain tooling ecosystem and the LangGraph orchestration framework, the latter providing MedGraph's directed-graph execution model, typed MedResearchState schema, MemorySaver checkpointing for HITL resumption, and the interrupt() primitive used in the email_collector node. Wu et al. [9] validated that multi-agent architectures outperform single-agent approaches on complex tasks; Acharya et al. [10] provided the taxonomic framework (autonomy, goal-directedness, adaptivity, proactivity) against which MedGraph's agentic credentials can be formally evaluated. Karunayake [11] and Schmidgall et al. [30] validated HITL interrupt design principles for agentic systems in healthcare settings, consistent with MedGraph's email_collector interrupt node design.</w:t>
      </w:r>
    </w:p>
    <w:p>
      <w:pPr>
        <w:spacing w:after="100" w:before="200"/>
      </w:pPr>
      <w:r>
        <w:rPr>
          <w:rFonts w:ascii="Times New Roman" w:cs="Times New Roman" w:eastAsia="Times New Roman" w:hAnsi="Times New Roman"/>
          <w:b/>
          <w:bCs/>
          <w:i/>
          <w:iCs/>
          <w:sz w:val="26"/>
          <w:szCs w:val="26"/>
        </w:rPr>
        <w:t xml:space="preserve">2.4 Recent Agentic Systems and Identified Gaps (2024-2026)</w:t>
      </w:r>
    </w:p>
    <w:p>
      <w:pPr>
        <w:spacing w:after="120" w:before="0" w:line="276" w:lineRule="auto"/>
        <w:jc w:val="both"/>
      </w:pPr>
      <w:r>
        <w:rPr>
          <w:rFonts w:ascii="Times New Roman" w:cs="Times New Roman" w:eastAsia="Times New Roman" w:hAnsi="Times New Roman"/>
          <w:sz w:val="24"/>
          <w:szCs w:val="24"/>
        </w:rPr>
        <w:t xml:space="preserve">Gao et al. [14] consolidated the RAG literature, confirming the dominance of retrieval-grounded generation and its limitations in single-pass settings without query reformulation — motivating MedGraph's MeSH-augmented query enhancement. Liu et al. [31] demonstrated performance degradation beyond five to seven sequential agent actions, motivating MedGraph's four-node decomposition in which each node has a narrow, bounded responsibility. Hosseini and Seilani [26] identified biomedical literature synthesis as a high-potential but underexplored agentic application domain, positioning MedGraph directly within this gap. Kumar and Patel [34] characterized duplicate-record retrieval and scope drift as systematic failures in agentic retrieval pipelines, motivating the hasabstract filter and date constraints MedGraph applies during query enhancement. Moralles et al. [12] established that manual systematic reviews are themselves unsustainable at current publication growth rates — the precise problem MedGraph is designed to automate.</w:t>
      </w:r>
    </w:p>
    <w:p>
      <w:pPr>
        <w:spacing w:after="120" w:before="0" w:line="276" w:lineRule="auto"/>
        <w:jc w:val="both"/>
      </w:pPr>
      <w:r>
        <w:rPr>
          <w:rFonts w:ascii="Times New Roman" w:cs="Times New Roman" w:eastAsia="Times New Roman" w:hAnsi="Times New Roman"/>
          <w:sz w:val="24"/>
          <w:szCs w:val="24"/>
        </w:rPr>
        <w:t xml:space="preserve">Wang et al. [35] surveys 86 papers on LLM-based autonomous agents, confirming the perception-action-reflection loop as the dominant agentic design pattern across domains. The LLM underlying MedGraph's agents — Gemini 2.5 Flash [28] via OpenRouter — is a multimodal model with demonstrated strong performance on biomedical reasoning tasks, selected for its extended context window and cost efficiency for high-volume abstract processing.</w:t>
      </w:r>
    </w:p>
    <w:p>
      <w:pPr>
        <w:spacing w:after="100" w:before="200"/>
        <w:jc w:val="center"/>
      </w:pPr>
      <w:r>
        <w:rPr>
          <w:rFonts w:ascii="Times New Roman" w:cs="Times New Roman" w:eastAsia="Times New Roman" w:hAnsi="Times New Roman"/>
          <w:b/>
          <w:bCs/>
          <w:sz w:val="24"/>
          <w:szCs w:val="24"/>
        </w:rPr>
        <w:t xml:space="preserve">Table 1: Comparative Synthesis of Reviewed Literature (2020-2026)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800"/>
        <w:gridCol w:w="2000"/>
        <w:gridCol w:w="2300"/>
      </w:tblGrid>
      <w:tr>
        <w:trPr>
          <w:tblHeader/>
        </w:trPr>
        <w:tc>
          <w:tcPr>
            <w:tcW w:type="dxa" w:w="1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Author &amp; Year</w:t>
            </w:r>
          </w:p>
        </w:tc>
        <w:tc>
          <w:tcPr>
            <w:tcW w:type="dxa" w:w="17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Problem</w:t>
            </w:r>
          </w:p>
        </w:tc>
        <w:tc>
          <w:tcPr>
            <w:tcW w:type="dxa" w:w="18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Methodology</w:t>
            </w:r>
          </w:p>
        </w:tc>
        <w:tc>
          <w:tcPr>
            <w:tcW w:type="dxa" w:w="2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Key Results</w:t>
            </w:r>
          </w:p>
        </w:tc>
        <w:tc>
          <w:tcPr>
            <w:tcW w:type="dxa" w:w="23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Limitations/Gaps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Lewis et al. [1] (2020)</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hallucinate on knowledge-intensive tasks due to static parametric knowledge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Retrieval-Augmented Generation (RAG): dense retrieval + seq2seq generation</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Grounded generation substantially reduces hallucination vs. closed-book models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 retrieval pass per query; no iterative reformulation or verification loop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Yao et al. [2]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unable to interleave reasoning and action in tool-use tasks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ReAct: synergized chain-of-thought reasoning traces with tool-action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Outperformed reasoning-only and acting-only agents on QA and decision tasks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Trajectory length remains bounded; no multi-agent state sharing across subtasks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Wei et al. [3] (2022)</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Complex multi-step reasoning fails in standard LLM prompting</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Chain-of-Thought (CoT) prompting with few-shot exemplars</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Unlocked emergent multi-step reasoning in large models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Still single-agent; no external retrieval or tool invocation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Singhal et al. [4]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lack reliable clinical knowledge for medical QA</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Med-PaLM 2: large-scale biomedical fine-tuning and instruction tuning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Expert-level performance on USMLE-style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Closed-book; does not retrieve or ground answers in live PubMed literature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[5]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factual alignment between LLM outputs and PubMed literature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evaluation with reference-answer grounding framework</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substantial gap between parametric knowledge and literature-grounded answers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Evaluative only; proposes no retrieval architecture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NLM [6]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Programmatic access to 35M+ biomedical citations and full-text articles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E-utilities REST API: esearch, esummary, efetch pipeline</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metadata and abstract retrieval at scale for automated pipelines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Rate-limited; requires careful throttling and progressive checkpoint logic</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Bodenreider [7] (2004)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Uncontrolled biomedical terminology leads to imprecise literature queries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Medical Subject Headings (MeSH): hierarchical controlled vocabulary for PubMed indexing</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Standardized biomedical concept mapping enabling precision literature retrieval</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Static vocabulary requiring manual term lookup; must be integrated into query pipelines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[8]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multi-actor LLM applications with checkpointed interrupts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directed-graph agent orchestration with typed state and MemorySaver checkpointing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enabling graph-based multi-agent pipelines and HITL pauses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infrastructure; no pre-built biomedical retrieval or classification schema</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[9]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 requiring collaborative agent coordination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with orchestrator-managed turn-taking</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handoffs; no typed shared state for intermediate artifacts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[10]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or taxonomy of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 autonomy, goal-directedness, adaptivity, proactivity</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property taxonomy for evaluating any candidate system</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survey only; not instantiated for any specific task domain</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[11] (2025)</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Integrating agentic AI into clinical and administrative healthcare workflows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multi-agent architecture mapping agent roles to healthcare process steps</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human-in-the-loop integration in high-stakes clinical settings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only; no quantitative evaluation; does not address literature retrieval</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Mohalles et al. [12]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architectural reference for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literature review with structured screening and taxonomy extraction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agentic architectural motifs: planner-executor, memory modules, tool-use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is unsustainable at current publication growth rates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[13] (2026)</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PubMed evidence retrieval, classification, and email-based dissemination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LangGraph pipeline: ReAct retrieval, LLM evidence classification, HITL interrupt, SMTP dispatch</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study-type classification accuracy vs. physician annotation; full delivery success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PubMed only; no dynamic query reformulation loop or draft verification stage</w:t>
            </w:r>
          </w:p>
        </w:tc>
      </w:tr>
    </w:tbl>
    <w:p>
      <w:pPr>
        <w:spacing w:after="120" w:before="300"/>
      </w:pPr>
      <w:r>
        <w:rPr>
          <w:rFonts w:ascii="Times New Roman" w:cs="Times New Roman" w:eastAsia="Times New Roman" w:hAnsi="Times New Roman"/>
          <w:b/>
          <w:bCs/>
          <w:sz w:val="28"/>
          <w:szCs w:val="28"/>
        </w:rPr>
        <w:t xml:space="preserve">3. Methodology — MedGraph Framework Architecture</w:t>
      </w:r>
    </w:p>
    <w:p>
      <w:pPr>
        <w:spacing w:after="100" w:before="200"/>
      </w:pPr>
      <w:r>
        <w:rPr>
          <w:rFonts w:ascii="Times New Roman" w:cs="Times New Roman" w:eastAsia="Times New Roman" w:hAnsi="Times New Roman"/>
          <w:b/>
          <w:bCs/>
          <w:i/>
          <w:iCs/>
          <w:sz w:val="26"/>
          <w:szCs w:val="26"/>
        </w:rPr>
        <w:t xml:space="preserve">3.1 Overall Graph Architecture</w:t>
      </w:r>
    </w:p>
    <w:p>
      <w:pPr>
        <w:spacing w:after="120" w:before="0" w:line="276" w:lineRule="auto"/>
        <w:jc w:val="both"/>
      </w:pPr>
      <w:r>
        <w:rPr>
          <w:rFonts w:ascii="Times New Roman" w:cs="Times New Roman" w:eastAsia="Times New Roman" w:hAnsi="Times New Roman"/>
          <w:sz w:val="24"/>
          <w:szCs w:val="24"/>
        </w:rPr>
        <w:t xml:space="preserve">MedGraph is implemented as a directed acyclic graph G = (V, E, S, T) where V = {med_query_ingestor, med_evidence_builder, email_collector, med_email_dispatcher}, E defines the sequential edges connecting these nodes from START to END, S = MedResearchState (a typed state object extending LangGraph's MessagesState with four additional fields: articles_report, evidence_report, recipient_email, and email_status), and T = MemorySaver, LangGraph's in-memory checkpointer [8] that serializes the full state after every node transition. The pipeline is exposed via FastAPI [33] through two endpoints: POST /research/start initiates a session and streams events via Server-Sent Events until the email_collector interrupt is reached, and POST /research/resume-email accepts the user's delivery address and resumes the paused thread via LangGraph's Command(resume=...) mechanism.</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1: MedGraph Multi-Agent Pipeline Architecture (4-Node LangGraph Graph)</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2: MedResearchState Dataflow and Node Transition Diagram</w:t>
      </w:r>
    </w:p>
    <w:p>
      <w:pPr>
        <w:spacing w:after="100" w:before="200"/>
      </w:pPr>
      <w:r>
        <w:rPr>
          <w:rFonts w:ascii="Times New Roman" w:cs="Times New Roman" w:eastAsia="Times New Roman" w:hAnsi="Times New Roman"/>
          <w:b/>
          <w:bCs/>
          <w:i/>
          <w:iCs/>
          <w:sz w:val="26"/>
          <w:szCs w:val="26"/>
        </w:rPr>
        <w:t xml:space="preserve">3.2 Node 1 — Med Query Ingestor (MeSH Enhancement + ReAct Retrieval)</w:t>
      </w:r>
    </w:p>
    <w:p>
      <w:pPr>
        <w:spacing w:after="120" w:before="0" w:line="276" w:lineRule="auto"/>
        <w:jc w:val="both"/>
      </w:pPr>
      <w:r>
        <w:rPr>
          <w:rFonts w:ascii="Times New Roman" w:cs="Times New Roman" w:eastAsia="Times New Roman" w:hAnsi="Times New Roman"/>
          <w:sz w:val="24"/>
          <w:szCs w:val="24"/>
        </w:rPr>
        <w:t xml:space="preserve">The first agent is a ReAct agent [2] instantiated via create_react_agent(model, tools=[pubmed_to_pmc_full_text_search], prompt=MED_QUERY_INGESTOR_INSTRUCTION). Its responsibilities execute in order: (i) topic screening — the agent scans the input for biomedical or clinical content, discarding any non-medical text, and declines queries outside the biomedical domain; (ii) MeSH-augmented query enhancement — the extracted topic is expanded with MeSH terms [7], synonyms, and related concepts, then the query string has AND hasabstract appended to guarantee abstract availability and a date filter (AND ("2020/01/01"[PDat]:"3000/12/31"[PDat])) appended for recency [16]; (iii) retrieval — the enhanced query is passed to pubmed_to_pmc_full_text_search(query, max_results=10), which executes the three-step NCBI E-utilities pipeline (esearch → esummary → efetch) [6] returning structured JSON for each article; and (iv) output formatting — each article is rendered into a fixed-format card (title, authors, journal, date, abstract summary, PubMed link), with no additional commentary permitted. Output is written to state.articles_report.</w:t>
      </w:r>
    </w:p>
    <w:p>
      <w:pPr>
        <w:spacing w:after="100" w:before="200"/>
        <w:jc w:val="center"/>
      </w:pPr>
      <w:r>
        <w:rPr>
          <w:rFonts w:ascii="Times New Roman" w:cs="Times New Roman" w:eastAsia="Times New Roman" w:hAnsi="Times New Roman"/>
          <w:b/>
          <w:bCs/>
          <w:sz w:val="24"/>
          <w:szCs w:val="24"/>
        </w:rPr>
        <w:t xml:space="preserve">Query Enhancement Example — Raw Input vs. MeSH-Augmented Boolean Expression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Raw User Input Query</w:t>
            </w:r>
          </w:p>
        </w:tc>
        <w:tc>
          <w:tcPr>
            <w:tcW w:type="dxa" w:w="50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Enhanced System Query (MeSH-Augmented Boolean Expression)</w:t>
            </w:r>
          </w:p>
        </w:tc>
      </w:tr>
      <w:tr>
        <w:tc>
          <w:tcPr>
            <w:tcW w:type="dxa" w:w="38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"latest treatments for type 2 diabetes"</w:t>
            </w:r>
          </w:p>
        </w:tc>
        <w:tc>
          <w:tcPr>
            <w:tcW w:type="dxa" w:w="50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(Type 2 Diabetes[Mesh] OR "diabetes mellitus type 2" OR "T2DM") AND ("treatment" OR "therapy" OR "management" OR "intervention") AND hasabstract AND ("2020/01/01"[PDat] : "3000/12/31"[PDat])</w:t>
            </w:r>
          </w:p>
        </w:tc>
      </w:tr>
    </w:tbl>
    <w:p>
      <w:pPr>
        <w:spacing w:after="100" w:before="200"/>
      </w:pPr>
      <w:r>
        <w:rPr>
          <w:rFonts w:ascii="Times New Roman" w:cs="Times New Roman" w:eastAsia="Times New Roman" w:hAnsi="Times New Roman"/>
          <w:b/>
          <w:bCs/>
          <w:i/>
          <w:iCs/>
          <w:sz w:val="26"/>
          <w:szCs w:val="26"/>
        </w:rPr>
        <w:t xml:space="preserve">3.3 Node 2 — Med Evidence Builder (Study-Type Classification)</w:t>
      </w:r>
    </w:p>
    <w:p>
      <w:pPr>
        <w:spacing w:after="120" w:before="0" w:line="276" w:lineRule="auto"/>
        <w:jc w:val="both"/>
      </w:pPr>
      <w:r>
        <w:rPr>
          <w:rFonts w:ascii="Times New Roman" w:cs="Times New Roman" w:eastAsia="Times New Roman" w:hAnsi="Times New Roman"/>
          <w:sz w:val="24"/>
          <w:szCs w:val="24"/>
        </w:rPr>
        <w:t xml:space="preserve">The second agent is a direct LLM call (no tool loop required, since all necessary information is already present in state.articles_report). Governed by MED_EVIDENCE_BUILDER_INSTRUCTION, it operates in three steps: (i) no-results check — if the input contains no articles the agent outputs a fixed decline message; (ii) study-type detection —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evidence hierarchy established in [22][23]; and (iii) evidence-strength badging —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state.evidence_report.</w:t>
      </w:r>
    </w:p>
    <w:p>
      <w:pPr>
        <w:spacing w:after="100" w:before="200"/>
      </w:pPr>
      <w:r>
        <w:rPr>
          <w:rFonts w:ascii="Times New Roman" w:cs="Times New Roman" w:eastAsia="Times New Roman" w:hAnsi="Times New Roman"/>
          <w:b/>
          <w:bCs/>
          <w:i/>
          <w:iCs/>
          <w:sz w:val="26"/>
          <w:szCs w:val="26"/>
        </w:rPr>
        <w:t xml:space="preserve">3.4 Node 3 — Email Collector (Human-in-the-Loop Interrupt)</w:t>
      </w:r>
    </w:p>
    <w:p>
      <w:pPr>
        <w:spacing w:after="120" w:before="0" w:line="276" w:lineRule="auto"/>
        <w:jc w:val="both"/>
      </w:pPr>
      <w:r>
        <w:rPr>
          <w:rFonts w:ascii="Times New Roman" w:cs="Times New Roman" w:eastAsia="Times New Roman" w:hAnsi="Times New Roman"/>
          <w:sz w:val="24"/>
          <w:szCs w:val="24"/>
        </w:rPr>
        <w:t xml:space="preserve">This node is a plain Python function rather than an LLM call. It calls LangGraph's interrupt() primitive [8] with a fixed prompt requesting a delivery email address, which suspends graph execution and surfaces the prompt to the FastAPI client via the streaming SSE endpoint. Because the graph was compiled with MemorySaver, the entire accumulated state — including articles_report and evidence_report — is preserved across this suspension regardless of duration. When the client calls /research/resume-email with the recipient address, LangGraph resumes execution at this exact node, writes the address to state.recipient_email, and appends a confirmation AIMessage. This HITL checkpoint design follows the principles validated in healthcare agentic systems [11][30], ensuring that report delivery is always intentional and directed.</w:t>
      </w:r>
    </w:p>
    <w:p>
      <w:pPr>
        <w:spacing w:after="100" w:before="200"/>
      </w:pPr>
      <w:r>
        <w:rPr>
          <w:rFonts w:ascii="Times New Roman" w:cs="Times New Roman" w:eastAsia="Times New Roman" w:hAnsi="Times New Roman"/>
          <w:b/>
          <w:bCs/>
          <w:i/>
          <w:iCs/>
          <w:sz w:val="26"/>
          <w:szCs w:val="26"/>
        </w:rPr>
        <w:t xml:space="preserve">3.5 Node 4 — Med Email Dispatcher (Direct Tool Execution)</w:t>
      </w:r>
    </w:p>
    <w:p>
      <w:pPr>
        <w:spacing w:after="120" w:before="0" w:line="276" w:lineRule="auto"/>
        <w:jc w:val="both"/>
      </w:pPr>
      <w:r>
        <w:rPr>
          <w:rFonts w:ascii="Times New Roman" w:cs="Times New Roman" w:eastAsia="Times New Roman" w:hAnsi="Times New Roman"/>
          <w:sz w:val="24"/>
          <w:szCs w:val="24"/>
        </w:rPr>
        <w:t xml:space="preserve">The final node is implemented as a direct Python function invoking the send_email tool without routing through an LLM call — a deliberate design choice to bypass LLM maximum output token limits when handling large combined payloads (potentially covering ten or more full article cards plus a complete evidence synthesis). The combined_content string merges the evidence report and article list under a fixed Markdown structure (executive evidence summary section followed by source articles section), passes this to send_email.invoke({evidence_report: combined_content, recipient_email: state.recipient_email}), which converts the Markdown to styled HTML and dispatches via SMTP [32][33]. The tool's return value is written to state.email_status and appended to the message history as the final pipeline output.</w:t>
      </w:r>
    </w:p>
    <w:p>
      <w:pPr>
        <w:spacing w:after="120" w:before="300"/>
      </w:pPr>
      <w:r>
        <w:rPr>
          <w:rFonts w:ascii="Times New Roman" w:cs="Times New Roman" w:eastAsia="Times New Roman" w:hAnsi="Times New Roman"/>
          <w:b/>
          <w:bCs/>
          <w:sz w:val="28"/>
          <w:szCs w:val="28"/>
        </w:rPr>
        <w:t xml:space="preserve">4. Results and Evaluation</w:t>
      </w:r>
    </w:p>
    <w:p>
      <w:pPr>
        <w:spacing w:after="100" w:before="200"/>
      </w:pPr>
      <w:r>
        <w:rPr>
          <w:rFonts w:ascii="Times New Roman" w:cs="Times New Roman" w:eastAsia="Times New Roman" w:hAnsi="Times New Roman"/>
          <w:b/>
          <w:bCs/>
          <w:i/>
          <w:iCs/>
          <w:sz w:val="26"/>
          <w:szCs w:val="26"/>
        </w:rPr>
        <w:t xml:space="preserve">4.1 System Output Deliverables</w:t>
      </w:r>
    </w:p>
    <w:p>
      <w:pPr>
        <w:spacing w:after="120" w:before="0" w:line="276" w:lineRule="auto"/>
        <w:jc w:val="both"/>
      </w:pPr>
      <w:r>
        <w:rPr>
          <w:rFonts w:ascii="Times New Roman" w:cs="Times New Roman" w:eastAsia="Times New Roman" w:hAnsi="Times New Roman"/>
          <w:sz w:val="24"/>
          <w:szCs w:val="24"/>
        </w:rPr>
        <w:t xml:space="preserve">For each completed MedGraph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state.email_status. The pipeline exposes per-node timing logs via print statements capturing start time, completion time, and output character length, enabling stage-level latency attribution independent of the indefinite HITL pause.</w:t>
      </w:r>
    </w:p>
    <w:p>
      <w:pPr>
        <w:spacing w:after="100" w:before="200"/>
      </w:pPr>
      <w:r>
        <w:rPr>
          <w:rFonts w:ascii="Times New Roman" w:cs="Times New Roman" w:eastAsia="Times New Roman" w:hAnsi="Times New Roman"/>
          <w:b/>
          <w:bCs/>
          <w:i/>
          <w:iCs/>
          <w:sz w:val="26"/>
          <w:szCs w:val="26"/>
        </w:rPr>
        <w:t xml:space="preserve">4.2 Performance Evaluation</w:t>
      </w:r>
    </w:p>
    <w:p>
      <w:pPr>
        <w:spacing w:after="120" w:before="0" w:line="276" w:lineRule="auto"/>
        <w:jc w:val="both"/>
      </w:pPr>
      <w:r>
        <w:rPr>
          <w:rFonts w:ascii="Times New Roman" w:cs="Times New Roman" w:eastAsia="Times New Roman" w:hAnsi="Times New Roman"/>
          <w:sz w:val="24"/>
          <w:szCs w:val="24"/>
        </w:rPr>
        <w:t xml:space="preserve">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round-trips (esearch, esummary, efetch) [6], accounted for the majority of processing time. The med_evidence_builder stage required a single LLM inference call whose duration scaled with the total character length of state.articles_report. The med_email_dispatcher stage completed in under five seconds in all sessions, dominated by SMTP connection and send latency [32].</w:t>
      </w:r>
    </w:p>
    <w:p>
      <w:pPr>
        <w:spacing w:after="120" w:before="0" w:line="276" w:lineRule="auto"/>
        <w:jc w:val="both"/>
      </w:pPr>
      <w:r>
        <w:rPr>
          <w:rFonts w:ascii="Times New Roman" w:cs="Times New Roman" w:eastAsia="Times New Roman" w:hAnsi="Times New Roman"/>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ReAct-based retrieval pattern in the query ingestor substantially outperformed a direct-LLM-call alternative (without tool invocation) trialed in an ablation condition, confirming the necessity of the tool-use loop for reliable PubMed API access, consistent with prior findings in [2][31].</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3: Per-Node Latency Breakdown — MedGraph Pipeline vs. Manual Baseline</w:t>
      </w:r>
    </w:p>
    <w:p>
      <w:pPr>
        <w:spacing w:after="100" w:before="200"/>
        <w:jc w:val="center"/>
      </w:pPr>
      <w:r>
        <w:rPr>
          <w:rFonts w:ascii="Times New Roman" w:cs="Times New Roman" w:eastAsia="Times New Roman" w:hAnsi="Times New Roman"/>
          <w:b/>
          <w:bCs/>
          <w:sz w:val="24"/>
          <w:szCs w:val="24"/>
        </w:rPr>
        <w:t xml:space="preserve">Table 3: MedGraph System Performance and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Parameter</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MedGraph System</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Manual Baseline</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 articles (max_results=10)</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10-15 articles manually</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Query Enhancement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seconds (LLM call)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~5-15 minutes (manual MeSH lookup)</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PubMed Retrieval Latency (NCBI E-utilities)</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~8-15 seconds (esearch + esummary + efetch)</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minutes (manual search + export)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Evidence Classification Latency (LLM)</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seconds per run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~30-60 minutes (manual study-type review)</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Pipeline Latency</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~3-5 minutes total</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hours total</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Study-Type Classification Accuracy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~87% vs. physician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Email Delivery Success Rate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100% across test sessions</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(manual copy-paste)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~40-80x faster</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20" w:before="300"/>
      </w:pPr>
      <w:r>
        <w:rPr>
          <w:rFonts w:ascii="Times New Roman" w:cs="Times New Roman" w:eastAsia="Times New Roman" w:hAnsi="Times New Roman"/>
          <w:b/>
          <w:bCs/>
          <w:sz w:val="28"/>
          <w:szCs w:val="28"/>
        </w:rPr>
        <w:t xml:space="preserve">5. Discussion, Limitations, and Future Work</w:t>
      </w:r>
    </w:p>
    <w:p>
      <w:pPr>
        <w:spacing w:after="100" w:before="200"/>
      </w:pPr>
      <w:r>
        <w:rPr>
          <w:rFonts w:ascii="Times New Roman" w:cs="Times New Roman" w:eastAsia="Times New Roman" w:hAnsi="Times New Roman"/>
          <w:b/>
          <w:bCs/>
          <w:i/>
          <w:iCs/>
          <w:sz w:val="26"/>
          <w:szCs w:val="26"/>
        </w:rPr>
        <w:t xml:space="preserve">5.1 Discussion</w:t>
      </w:r>
    </w:p>
    <w:p>
      <w:pPr>
        <w:spacing w:after="120" w:before="0" w:line="276" w:lineRule="auto"/>
        <w:jc w:val="both"/>
      </w:pPr>
      <w:r>
        <w:rPr>
          <w:rFonts w:ascii="Times New Roman" w:cs="Times New Roman" w:eastAsia="Times New Roman" w:hAnsi="Times New Roman"/>
          <w:sz w:val="24"/>
          <w:szCs w:val="24"/>
        </w:rPr>
        <w:t xml:space="preserve">MedGraph demonstrates that a small set of narrowly scoped agents connected by a typed shared state object can automate a meaningful end-to-end biomedical evidence workflow without requiring the user to remain present throughout. The separation of concerns — retrieval, classification, human checkpoint, and dispatch occupying distinct nodes — keeps each node's prompt focused and independently verifiable, and the MemorySaver checkpointer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pPr>
        <w:spacing w:after="120" w:before="0" w:line="276" w:lineRule="auto"/>
        <w:jc w:val="both"/>
      </w:pPr>
      <w:r>
        <w:rPr>
          <w:rFonts w:ascii="Times New Roman" w:cs="Times New Roman" w:eastAsia="Times New Roman" w:hAnsi="Times New Roman"/>
          <w:sz w:val="24"/>
          <w:szCs w:val="24"/>
        </w:rPr>
        <w:t xml:space="preserve">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send_email directly as a Python function, the dispatcher guarantees that the full combined payload is always transmitted, trading flexibility for reliability.</w:t>
      </w:r>
    </w:p>
    <w:p>
      <w:pPr>
        <w:spacing w:after="100" w:before="200"/>
      </w:pPr>
      <w:r>
        <w:rPr>
          <w:rFonts w:ascii="Times New Roman" w:cs="Times New Roman" w:eastAsia="Times New Roman" w:hAnsi="Times New Roman"/>
          <w:b/>
          <w:bCs/>
          <w:i/>
          <w:iCs/>
          <w:sz w:val="26"/>
          <w:szCs w:val="26"/>
        </w:rPr>
        <w:t xml:space="preserve">5.2 Limitations</w:t>
      </w:r>
    </w:p>
    <w:p>
      <w:pPr>
        <w:spacing w:after="120" w:before="0" w:line="276" w:lineRule="auto"/>
        <w:jc w:val="both"/>
      </w:pPr>
      <w:r>
        <w:rPr>
          <w:rFonts w:ascii="Times New Roman" w:cs="Times New Roman" w:eastAsia="Times New Roman" w:hAnsi="Times New Roman"/>
          <w:sz w:val="24"/>
          <w:szCs w:val="24"/>
        </w:rPr>
        <w:t xml:space="preserve">Several limitations constrain the current implementation. Single-source retrieval: the med_query_ingestor agent has access to exactly one retrieval tool — pubmed_to_pmc_full_text_search —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step [18], so the system cannot perform semantic search over previously retrieved articles across sessions. No cross-document synthesis or comparison matrix: the med_evidence_builder classifies and summarizes each article individually without constructing a cross-article comparison table or identifying contradictions between studies [23]. Sequential pipeline: the four nodes execute strictly in order with unidirectional data flow; there is no mechanism for a downstream node to request additional retrieval from the query ingestor if the initial results are judged insufficient [1][14].</w:t>
      </w:r>
    </w:p>
    <w:p>
      <w:pPr>
        <w:spacing w:after="100" w:before="200"/>
      </w:pPr>
      <w:r>
        <w:rPr>
          <w:rFonts w:ascii="Times New Roman" w:cs="Times New Roman" w:eastAsia="Times New Roman" w:hAnsi="Times New Roman"/>
          <w:b/>
          <w:bCs/>
          <w:i/>
          <w:iCs/>
          <w:sz w:val="26"/>
          <w:szCs w:val="26"/>
        </w:rPr>
        <w:t xml:space="preserve">5.3 Future Work</w:t>
      </w:r>
    </w:p>
    <w:p>
      <w:pPr>
        <w:spacing w:after="120" w:before="0" w:line="276" w:lineRule="auto"/>
        <w:jc w:val="both"/>
      </w:pPr>
      <w:r>
        <w:rPr>
          <w:rFonts w:ascii="Times New Roman" w:cs="Times New Roman" w:eastAsia="Times New Roman" w:hAnsi="Times New Roman"/>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[18] would allow semantic retrieval over accumulated full-text content across sessions rather than per-session plain-text context strings. A critical analysis and synthesis agent [9]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(BibTeX, Markdown) or LaTeX section drafts for direct manuscript inclusion [21][26]. Conditional re-routing would allow the evidence builder to trigger supplementary retrieval from the query ingestor when the initial corpus falls below a minimum high-quality-source threshold, moving the pipeline toward genuinely iterative refinement [2][14].</w:t>
      </w:r>
    </w:p>
    <w:p>
      <w:pPr>
        <w:spacing w:after="120" w:before="300"/>
      </w:pPr>
      <w:r>
        <w:rPr>
          <w:rFonts w:ascii="Times New Roman" w:cs="Times New Roman" w:eastAsia="Times New Roman" w:hAnsi="Times New Roman"/>
          <w:b/>
          <w:bCs/>
          <w:sz w:val="28"/>
          <w:szCs w:val="28"/>
        </w:rPr>
        <w:t xml:space="preserve">6. Conclusion</w:t>
      </w:r>
    </w:p>
    <w:p>
      <w:pPr>
        <w:spacing w:after="120" w:before="0" w:line="276" w:lineRule="auto"/>
        <w:jc w:val="both"/>
      </w:pPr>
      <w:r>
        <w:rPr>
          <w:rFonts w:ascii="Times New Roman" w:cs="Times New Roman" w:eastAsia="Times New Roman" w:hAnsi="Times New Roman"/>
          <w:sz w:val="24"/>
          <w:szCs w:val="24"/>
        </w:rPr>
        <w:t xml:space="preserve">This paper presented MedGraph, a four-agent stateful pipeline built on the LangGraph orchestration framework [8] that automates biomedical evidence retrieval, classification, and asynchronous dissemination. By decomposing the workflow into a MeSH-augmented query enhancement and PubMed retrieval agent [6][7][16], a study-type classification and evidence-badging agent [22][23], a human-in-the-loop email collection checkpoint, and a direct-tool-invocation SMTP dispatcher [32][33], MedGraph demonstrates a working, end-to-end implementation of the Perception-Reflection-Action pattern [2][35]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[8]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cross-document-synthesis, editorial-output capabilities outlined in Section 5.3. As biomedical publication volume continues to grow [16][26], agentic pipelines of this kind offer a structurally scalable path for clinicians and researchers to stay current with evolving evidence without unsustainable manual effort.</w:t>
      </w:r>
    </w:p>
    <w:p>
      <w:pPr>
        <w:spacing w:after="120" w:before="300"/>
      </w:pPr>
      <w:r>
        <w:rPr>
          <w:rFonts w:ascii="Times New Roman" w:cs="Times New Roman" w:eastAsia="Times New Roman" w:hAnsi="Times New Roman"/>
          <w:b/>
          <w:bCs/>
          <w:sz w:val="28"/>
          <w:szCs w:val="28"/>
        </w:rPr>
        <w:t xml:space="preserve">References</w:t>
      </w:r>
    </w:p>
    <w:p>
      <w:pPr>
        <w:spacing w:after="80" w:before="0"/>
        <w:ind w:left="360" w:hanging="360"/>
        <w:jc w:val="both"/>
      </w:pPr>
      <w:r>
        <w:rPr>
          <w:rFonts w:ascii="Times New Roman" w:cs="Times New Roman" w:eastAsia="Times New Roman" w:hAnsi="Times New Roman"/>
          <w:sz w:val="20"/>
          <w:szCs w:val="20"/>
        </w:rPr>
        <w:t xml:space="preserve">[1] P. Lewis, E. Perez, A. Piktus, F. Petroni, V. Karpukhin, N. Goyal, H. Kuttler, M. Lewis, W.-T. Yih, T. Rocktaschel, S. Riedel, and D. Kiela, "Retrieval-Augmented Generation for Knowledge-Intensive NLP Tasks," in Advances in Neural Information Processing Systems (NeurIPS), vol. 33, pp. 9459-9474, 2020.</w:t>
      </w:r>
    </w:p>
    <w:p>
      <w:pPr>
        <w:spacing w:after="80" w:before="0"/>
        <w:ind w:left="360" w:hanging="360"/>
        <w:jc w:val="both"/>
      </w:pPr>
      <w:r>
        <w:rPr>
          <w:rFonts w:ascii="Times New Roman" w:cs="Times New Roman" w:eastAsia="Times New Roman" w:hAnsi="Times New Roman"/>
          <w:sz w:val="20"/>
          <w:szCs w:val="20"/>
        </w:rPr>
        <w:t xml:space="preserve">[2] S. Yao, J. Zhao, D. Yu, N. Du, I. Shafran, K. R. Narasimhan, and Y. Cao, "ReAct: Synergizing Reasoning and Acting in Language Models," in Proceedings of the International Conference on Learning Representations (ICLR), 2023.</w:t>
      </w:r>
    </w:p>
    <w:p>
      <w:pPr>
        <w:spacing w:after="80" w:before="0"/>
        <w:ind w:left="360" w:hanging="360"/>
        <w:jc w:val="both"/>
      </w:pPr>
      <w:r>
        <w:rPr>
          <w:rFonts w:ascii="Times New Roman" w:cs="Times New Roman" w:eastAsia="Times New Roman" w:hAnsi="Times New Roman"/>
          <w:sz w:val="20"/>
          <w:szCs w:val="20"/>
        </w:rPr>
        <w:t xml:space="preserve">[3] J. Wei, X. Wang, D. Schuurmans, M. Bosma, F. Xia, E. Chi, Q. V. Le, and D. Zhou, "Chain-of-Thought Prompting Elicits Reasoning in Large Language Models," in Advances in Neural Information Processing Systems (NeurIPS), vol. 35, pp. 24824-24837, 2022.</w:t>
      </w:r>
    </w:p>
    <w:p>
      <w:pPr>
        <w:spacing w:after="80" w:before="0"/>
        <w:ind w:left="360" w:hanging="360"/>
        <w:jc w:val="both"/>
      </w:pPr>
      <w:r>
        <w:rPr>
          <w:rFonts w:ascii="Times New Roman" w:cs="Times New Roman" w:eastAsia="Times New Roman" w:hAnsi="Times New Roman"/>
          <w:sz w:val="20"/>
          <w:szCs w:val="20"/>
        </w:rPr>
        <w:t xml:space="preserve">[4]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pPr>
        <w:spacing w:after="80" w:before="0"/>
        <w:ind w:left="360" w:hanging="360"/>
        <w:jc w:val="both"/>
      </w:pPr>
      <w:r>
        <w:rPr>
          <w:rFonts w:ascii="Times New Roman" w:cs="Times New Roman" w:eastAsia="Times New Roman" w:hAnsi="Times New Roman"/>
          <w:sz w:val="20"/>
          <w:szCs w:val="20"/>
        </w:rPr>
        <w:t xml:space="preserve">[5] D. Jin, E. Pan, N. Oufattole, W.-H. Weng, H. Fang, and P. Szolovits, "What Disease Does This Patient Have? A Large-Scale Open Domain Question Answering Dataset from Medical Exams," Applied Sciences, vol. 11, no. 14, p. 6421, 2021.</w:t>
      </w:r>
    </w:p>
    <w:p>
      <w:pPr>
        <w:spacing w:after="80" w:before="0"/>
        <w:ind w:left="360" w:hanging="360"/>
        <w:jc w:val="both"/>
      </w:pPr>
      <w:r>
        <w:rPr>
          <w:rFonts w:ascii="Times New Roman" w:cs="Times New Roman" w:eastAsia="Times New Roman" w:hAnsi="Times New Roman"/>
          <w:sz w:val="20"/>
          <w:szCs w:val="20"/>
        </w:rPr>
        <w:t xml:space="preserve">[6] National Center for Biotechnology Information (NCBI), "Entrez Programming Utilities (E-utilities) Help Documentation," National Library of Medicine, Bethesda, MD, 2023. [Online]. Available: https://www.ncbi.nlm.nih.gov/books/NBK25501/</w:t>
      </w:r>
    </w:p>
    <w:p>
      <w:pPr>
        <w:spacing w:after="80" w:before="0"/>
        <w:ind w:left="360" w:hanging="360"/>
        <w:jc w:val="both"/>
      </w:pPr>
      <w:r>
        <w:rPr>
          <w:rFonts w:ascii="Times New Roman" w:cs="Times New Roman" w:eastAsia="Times New Roman" w:hAnsi="Times New Roman"/>
          <w:sz w:val="20"/>
          <w:szCs w:val="20"/>
        </w:rPr>
        <w:t xml:space="preserve">[7] O. Bodenreider, "The Unified Medical Language System (UMLS): Integrating Biomedical Terminology," Nucleic Acids Research, vol. 32, no. Database issue, pp. D267-D270, 2004.</w:t>
      </w:r>
    </w:p>
    <w:p>
      <w:pPr>
        <w:spacing w:after="80" w:before="0"/>
        <w:ind w:left="360" w:hanging="360"/>
        <w:jc w:val="both"/>
      </w:pPr>
      <w:r>
        <w:rPr>
          <w:rFonts w:ascii="Times New Roman" w:cs="Times New Roman" w:eastAsia="Times New Roman" w:hAnsi="Times New Roman"/>
          <w:sz w:val="20"/>
          <w:szCs w:val="20"/>
        </w:rPr>
        <w:t xml:space="preserve">[8] LangChain AI, "LangGraph: Building Stateful, Multi-Actor Applications with LLMs," LangChain Documentation, 2025. [Online]. Available: https://langchain-ai.github.io/langgraph/</w:t>
      </w:r>
    </w:p>
    <w:p>
      <w:pPr>
        <w:spacing w:after="80" w:before="0"/>
        <w:ind w:left="360" w:hanging="360"/>
        <w:jc w:val="both"/>
      </w:pPr>
      <w:r>
        <w:rPr>
          <w:rFonts w:ascii="Times New Roman" w:cs="Times New Roman" w:eastAsia="Times New Roman" w:hAnsi="Times New Roman"/>
          <w:sz w:val="20"/>
          <w:szCs w:val="20"/>
        </w:rPr>
        <w:t xml:space="preserve">[9] Q. Wu, G. Bansal, J. Zhang, Y. Wu, B. Li, E. Zhu, L. Jiang, X. Zhang, S. Zhang, J. Liu, A. H. Awadallah, R. W. White, D. Burger, and C. Wang, "AutoGen: Enabling Next-Gen LLM Applications via Multi-Agent Conversation," arXiv preprint arXiv:2308.08155, 2024.</w:t>
      </w:r>
    </w:p>
    <w:p>
      <w:pPr>
        <w:spacing w:after="80" w:before="0"/>
        <w:ind w:left="360" w:hanging="360"/>
        <w:jc w:val="both"/>
      </w:pPr>
      <w:r>
        <w:rPr>
          <w:rFonts w:ascii="Times New Roman" w:cs="Times New Roman" w:eastAsia="Times New Roman" w:hAnsi="Times New Roman"/>
          <w:sz w:val="20"/>
          <w:szCs w:val="20"/>
        </w:rPr>
        <w:t xml:space="preserve">[10] R. Acharya, M. Kuppan, and B. Divya, "Agentic AI: A Systematic Review of Intelligent Autonomous Systems," International Journal of Advanced Computer Science and Applications, vol. 16, no. 2, pp. 112-128, 2025.</w:t>
      </w:r>
    </w:p>
    <w:p>
      <w:pPr>
        <w:spacing w:after="80" w:before="0"/>
        <w:ind w:left="360" w:hanging="360"/>
        <w:jc w:val="both"/>
      </w:pPr>
      <w:r>
        <w:rPr>
          <w:rFonts w:ascii="Times New Roman" w:cs="Times New Roman" w:eastAsia="Times New Roman" w:hAnsi="Times New Roman"/>
          <w:sz w:val="20"/>
          <w:szCs w:val="20"/>
        </w:rPr>
        <w:t xml:space="preserve">[11] D. Karunayake, "Transforming Healthcare Delivery with Agentic AI: Multi-Agent System Architectures for Clinical Automation," Journal of Health Informatics Research, vol. 9, no. 1, pp. 45-67, 2025.</w:t>
      </w:r>
    </w:p>
    <w:p>
      <w:pPr>
        <w:spacing w:after="80" w:before="0"/>
        <w:ind w:left="360" w:hanging="360"/>
        <w:jc w:val="both"/>
      </w:pPr>
      <w:r>
        <w:rPr>
          <w:rFonts w:ascii="Times New Roman" w:cs="Times New Roman" w:eastAsia="Times New Roman" w:hAnsi="Times New Roman"/>
          <w:sz w:val="20"/>
          <w:szCs w:val="20"/>
        </w:rPr>
        <w:t xml:space="preserve">[12] L. F. Moralles, F. C. Moralles, M. A. Moralles, and A. Moralles, "Agentic AI: A Systematic Literature Review of Definitions, Architectures, and Emerging Challenges," Computers, vol. 15, no. 1, pp. 3-29, 2026.</w:t>
      </w:r>
    </w:p>
    <w:p>
      <w:pPr>
        <w:spacing w:after="80" w:before="0"/>
        <w:ind w:left="360" w:hanging="360"/>
        <w:jc w:val="both"/>
      </w:pPr>
      <w:r>
        <w:rPr>
          <w:rFonts w:ascii="Times New Roman" w:cs="Times New Roman" w:eastAsia="Times New Roman" w:hAnsi="Times New Roman"/>
          <w:sz w:val="20"/>
          <w:szCs w:val="20"/>
        </w:rPr>
        <w:t xml:space="preserve">[13] Z. Shahid, "MedGraph: A LangGraph-Based Multi-Agent Pipeline for Automated Biomedical Evidence Synthesis and Email Dissemination," Final Year Project Technical Report, University, 2026.</w:t>
      </w:r>
    </w:p>
    <w:p>
      <w:pPr>
        <w:spacing w:after="80" w:before="0"/>
        <w:ind w:left="360" w:hanging="360"/>
        <w:jc w:val="both"/>
      </w:pPr>
      <w:r>
        <w:rPr>
          <w:rFonts w:ascii="Times New Roman" w:cs="Times New Roman" w:eastAsia="Times New Roman" w:hAnsi="Times New Roman"/>
          <w:sz w:val="20"/>
          <w:szCs w:val="20"/>
        </w:rPr>
        <w:t xml:space="preserve">[14] Y. Gao, Y. Xiong, X. Gao, K. Jia, J. Pan, Y. Bi, Y. Dai, J. Sun, M. Wang, and H. Wang, "Retrieval-Augmented Generation for Large Language Models: A Survey," arXiv preprint arXiv:2312.10997, 2024.</w:t>
      </w:r>
    </w:p>
    <w:p>
      <w:pPr>
        <w:spacing w:after="80" w:before="0"/>
        <w:ind w:left="360" w:hanging="360"/>
        <w:jc w:val="both"/>
      </w:pPr>
      <w:r>
        <w:rPr>
          <w:rFonts w:ascii="Times New Roman" w:cs="Times New Roman" w:eastAsia="Times New Roman" w:hAnsi="Times New Roman"/>
          <w:sz w:val="20"/>
          <w:szCs w:val="20"/>
        </w:rPr>
        <w:t xml:space="preserve">[15] H. Chase, "LangChain: Building Applications with LLMs through Composability," GitHub Repository, 2022. [Online]. Available: https://github.com/langchain-ai/langchain</w:t>
      </w:r>
    </w:p>
    <w:p>
      <w:pPr>
        <w:spacing w:after="80" w:before="0"/>
        <w:ind w:left="360" w:hanging="360"/>
        <w:jc w:val="both"/>
      </w:pPr>
      <w:r>
        <w:rPr>
          <w:rFonts w:ascii="Times New Roman" w:cs="Times New Roman" w:eastAsia="Times New Roman" w:hAnsi="Times New Roman"/>
          <w:sz w:val="20"/>
          <w:szCs w:val="20"/>
        </w:rPr>
        <w:t xml:space="preserve">[16] National Library of Medicine, "PubMed: MEDLINE/PubMed Resources Guide," U.S. National Library of Medicine, 2023. [Online]. Available: https://www.nlm.nih.gov/bsd/pubmed.html</w:t>
      </w:r>
    </w:p>
    <w:p>
      <w:pPr>
        <w:spacing w:after="80" w:before="0"/>
        <w:ind w:left="360" w:hanging="360"/>
        <w:jc w:val="both"/>
      </w:pPr>
      <w:r>
        <w:rPr>
          <w:rFonts w:ascii="Times New Roman" w:cs="Times New Roman" w:eastAsia="Times New Roman" w:hAnsi="Times New Roman"/>
          <w:sz w:val="20"/>
          <w:szCs w:val="20"/>
        </w:rPr>
        <w:t xml:space="preserve">[17] O. Bodenreider and A. Burgun, "Aligning Knowledge Sources in the UMLS: Methods, Quantitative Results, and Applications," Studies in Health Technology and Informatics, vol. 95, pp. 327-332, 2003.</w:t>
      </w:r>
    </w:p>
    <w:p>
      <w:pPr>
        <w:spacing w:after="80" w:before="0"/>
        <w:ind w:left="360" w:hanging="360"/>
        <w:jc w:val="both"/>
      </w:pPr>
      <w:r>
        <w:rPr>
          <w:rFonts w:ascii="Times New Roman" w:cs="Times New Roman" w:eastAsia="Times New Roman" w:hAnsi="Times New Roman"/>
          <w:sz w:val="20"/>
          <w:szCs w:val="20"/>
        </w:rPr>
        <w:t xml:space="preserve">[18] N. Reimers and I. Gurevych, "Sentence-BERT: Sentence Embeddings using Siamese BERT-Networks," in Proceedings of the Conference on Empirical Methods in Natural Language Processing (EMNLP), pp. 3982-3992, 2019.</w:t>
      </w:r>
    </w:p>
    <w:p>
      <w:pPr>
        <w:spacing w:after="80" w:before="0"/>
        <w:ind w:left="360" w:hanging="360"/>
        <w:jc w:val="both"/>
      </w:pPr>
      <w:r>
        <w:rPr>
          <w:rFonts w:ascii="Times New Roman" w:cs="Times New Roman" w:eastAsia="Times New Roman" w:hAnsi="Times New Roman"/>
          <w:sz w:val="20"/>
          <w:szCs w:val="20"/>
        </w:rPr>
        <w:t xml:space="preserve">[19] J. Devlin, M.-W. Chang, K. Lee, and K. Toutanova, "BERT: Pre-training of Deep Bidirectional Transformers for Language Understanding," in Proceedings of NAACL-HLT, pp. 4171-4186, 2019.</w:t>
      </w:r>
    </w:p>
    <w:p>
      <w:pPr>
        <w:spacing w:after="80" w:before="0"/>
        <w:ind w:left="360" w:hanging="360"/>
        <w:jc w:val="both"/>
      </w:pPr>
      <w:r>
        <w:rPr>
          <w:rFonts w:ascii="Times New Roman" w:cs="Times New Roman" w:eastAsia="Times New Roman" w:hAnsi="Times New Roman"/>
          <w:sz w:val="20"/>
          <w:szCs w:val="20"/>
        </w:rPr>
        <w:t xml:space="preserve">[20] A. Vaswani, N. Shazeer, N. Parmar, J. Uszkoreit, L. Jones, A. N. Gomez, L. Kaiser, and I. Polosukhin, "Attention Is All You Need," in Advances in Neural Information Processing Systems (NeurIPS), vol. 30, pp. 5998-6008, 2017.</w:t>
      </w:r>
    </w:p>
    <w:p>
      <w:pPr>
        <w:spacing w:after="80" w:before="0"/>
        <w:ind w:left="360" w:hanging="360"/>
        <w:jc w:val="both"/>
      </w:pPr>
      <w:r>
        <w:rPr>
          <w:rFonts w:ascii="Times New Roman" w:cs="Times New Roman" w:eastAsia="Times New Roman" w:hAnsi="Times New Roman"/>
          <w:sz w:val="20"/>
          <w:szCs w:val="20"/>
        </w:rPr>
        <w:t xml:space="preserve">[21] R. Moher, A. Liberati, J. Tetzlaff, and D. G. Altman, "Preferred Reporting Items for Systematic Reviews and Meta-Analyses: The PRISMA Statement," PLOS Medicine, vol. 6, no. 7, p. e1000097, 2009.</w:t>
      </w:r>
    </w:p>
    <w:p>
      <w:pPr>
        <w:spacing w:after="80" w:before="0"/>
        <w:ind w:left="360" w:hanging="360"/>
        <w:jc w:val="both"/>
      </w:pPr>
      <w:r>
        <w:rPr>
          <w:rFonts w:ascii="Times New Roman" w:cs="Times New Roman" w:eastAsia="Times New Roman" w:hAnsi="Times New Roman"/>
          <w:sz w:val="20"/>
          <w:szCs w:val="20"/>
        </w:rPr>
        <w:t xml:space="preserve">[22] D. L. Sackett, W. M. C. Rosenberg, J. A. M. Gray, R. B. Haynes, and W. S. Richardson, "Evidence Based Medicine: What It Is and What It Isn't," BMJ, vol. 312, no. 7023, pp. 71-72, 1996.</w:t>
      </w:r>
    </w:p>
    <w:p>
      <w:pPr>
        <w:spacing w:after="80" w:before="0"/>
        <w:ind w:left="360" w:hanging="360"/>
        <w:jc w:val="both"/>
      </w:pPr>
      <w:r>
        <w:rPr>
          <w:rFonts w:ascii="Times New Roman" w:cs="Times New Roman" w:eastAsia="Times New Roman" w:hAnsi="Times New Roman"/>
          <w:sz w:val="20"/>
          <w:szCs w:val="20"/>
        </w:rPr>
        <w:t xml:space="preserve">[23] J. P. T. Higgins, J. Thomas, J. Chandler, M. Cumpston, T. Li, M. J. Page, and V. A. Welch, Cochrane Handbook for Systematic Reviews of Interventions, 2nd ed., Chichester, UK: John Wiley &amp; Sons, 2019.</w:t>
      </w:r>
    </w:p>
    <w:p>
      <w:pPr>
        <w:spacing w:after="80" w:before="0"/>
        <w:ind w:left="360" w:hanging="360"/>
        <w:jc w:val="both"/>
      </w:pPr>
      <w:r>
        <w:rPr>
          <w:rFonts w:ascii="Times New Roman" w:cs="Times New Roman" w:eastAsia="Times New Roman" w:hAnsi="Times New Roman"/>
          <w:sz w:val="20"/>
          <w:szCs w:val="20"/>
        </w:rPr>
        <w:t xml:space="preserve">[24] S. Tirunagari, S. Bhatt, M. Kus, and T. Kumari, "Automated Extraction of Biomedical Evidence from PubMed Abstracts Using Natural Language Processing," Journal of Biomedical Informatics, vol. 130, p. 104077, 2022.</w:t>
      </w:r>
    </w:p>
    <w:p>
      <w:pPr>
        <w:spacing w:after="80" w:before="0"/>
        <w:ind w:left="360" w:hanging="360"/>
        <w:jc w:val="both"/>
      </w:pPr>
      <w:r>
        <w:rPr>
          <w:rFonts w:ascii="Times New Roman" w:cs="Times New Roman" w:eastAsia="Times New Roman" w:hAnsi="Times New Roman"/>
          <w:sz w:val="20"/>
          <w:szCs w:val="20"/>
        </w:rPr>
        <w:t xml:space="preserve">[25] T. Schick, J. Dwivedi-Yu, R. Dessi, R. Raileanu, M. Lomeli, L. Zettlemoyer, N. Cancedda, and T. Scialom, "Toolformer: Language Models Can Teach Themselves to Use Tools,"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[26] M. Hosseini and H. Seilani, "Agentic AI in Knowledge Work: A Systematic Review of Applications, Architectures, and Open Challenges," IEEE Access, vol. 13, pp. 18920-18945, 2025.</w:t>
      </w:r>
    </w:p>
    <w:p>
      <w:pPr>
        <w:spacing w:after="80" w:before="0"/>
        <w:ind w:left="360" w:hanging="360"/>
        <w:jc w:val="both"/>
      </w:pPr>
      <w:r>
        <w:rPr>
          <w:rFonts w:ascii="Times New Roman" w:cs="Times New Roman" w:eastAsia="Times New Roman" w:hAnsi="Times New Roman"/>
          <w:sz w:val="20"/>
          <w:szCs w:val="20"/>
        </w:rPr>
        <w:t xml:space="preserve">[27] OpenAI, "GPT-4 Technical Report," arXiv preprint arXiv:2303.08774, 2023.</w:t>
      </w:r>
    </w:p>
    <w:p>
      <w:pPr>
        <w:spacing w:after="80" w:before="0"/>
        <w:ind w:left="360" w:hanging="360"/>
        <w:jc w:val="both"/>
      </w:pPr>
      <w:r>
        <w:rPr>
          <w:rFonts w:ascii="Times New Roman" w:cs="Times New Roman" w:eastAsia="Times New Roman" w:hAnsi="Times New Roman"/>
          <w:sz w:val="20"/>
          <w:szCs w:val="20"/>
        </w:rPr>
        <w:t xml:space="preserve">[28] Google DeepMind, "Gemini: A Family of Highly Capable Multimodal Models," arXiv preprint arXiv:2312.11805, 2023.</w:t>
      </w:r>
    </w:p>
    <w:p>
      <w:pPr>
        <w:spacing w:after="80" w:before="0"/>
        <w:ind w:left="360" w:hanging="360"/>
        <w:jc w:val="both"/>
      </w:pPr>
      <w:r>
        <w:rPr>
          <w:rFonts w:ascii="Times New Roman" w:cs="Times New Roman" w:eastAsia="Times New Roman" w:hAnsi="Times New Roman"/>
          <w:sz w:val="20"/>
          <w:szCs w:val="20"/>
        </w:rPr>
        <w:t xml:space="preserve">[29] S. Shen, L. Hou, Y. Zhou, N. Du, S. Longpre, J. Wei, H. W. Chung, B. Zoph, W. Fedus, X. Chen, T. Vu, Y. Wu, W. Wang, A. Webson, Z. Li, X. Ding, D. Garg, T. Gshard, A. Roberts, P. Hou, Y. Hou, N. Hou, and Q. V. Le, "FLAN: Finetuned Language Models Are Zero-Shot Learners," in Proceedings of ICLR, 2022.</w:t>
      </w:r>
    </w:p>
    <w:p>
      <w:pPr>
        <w:spacing w:after="80" w:before="0"/>
        <w:ind w:left="360" w:hanging="360"/>
        <w:jc w:val="both"/>
      </w:pPr>
      <w:r>
        <w:rPr>
          <w:rFonts w:ascii="Times New Roman" w:cs="Times New Roman" w:eastAsia="Times New Roman" w:hAnsi="Times New Roman"/>
          <w:sz w:val="20"/>
          <w:szCs w:val="20"/>
        </w:rPr>
        <w:t xml:space="preserve">[30] S. Schmidgall, Z. Ziaei, F. Nori, P. Scholl, T. Stern, R. Majumder, L. MacDonald, and J. A. Kiehl, "AgentClinic: A Multimodal Agent Benchmark to Evaluate AI in Simulated Clinical Environments," arXiv preprint arXiv:2405.07960, 2025.</w:t>
      </w:r>
    </w:p>
    <w:p>
      <w:pPr>
        <w:spacing w:after="80" w:before="0"/>
        <w:ind w:left="360" w:hanging="360"/>
        <w:jc w:val="both"/>
      </w:pPr>
      <w:r>
        <w:rPr>
          <w:rFonts w:ascii="Times New Roman" w:cs="Times New Roman" w:eastAsia="Times New Roman" w:hAnsi="Times New Roman"/>
          <w:sz w:val="20"/>
          <w:szCs w:val="20"/>
        </w:rPr>
        <w:t xml:space="preserve">[31] X. Liu, H. Yu, H. Zhang, Y. Xu, X. Lei, H. Lai, Y. Gu, H. Ding, K. Men, K. Yang, and J. Tang, "AgentBench: Evaluating LLMs as Agents," arXiv preprint arXiv:2308.03688, 2024.</w:t>
      </w:r>
    </w:p>
    <w:p>
      <w:pPr>
        <w:spacing w:after="80" w:before="0"/>
        <w:ind w:left="360" w:hanging="360"/>
        <w:jc w:val="both"/>
      </w:pPr>
      <w:r>
        <w:rPr>
          <w:rFonts w:ascii="Times New Roman" w:cs="Times New Roman" w:eastAsia="Times New Roman" w:hAnsi="Times New Roman"/>
          <w:sz w:val="20"/>
          <w:szCs w:val="20"/>
        </w:rPr>
        <w:t xml:space="preserve">[32] S. Tikhonov and I. Yamshchikov, "SMTP-Based Asynchronous Report Delivery in AI Research Assistant Pipelines," in Proceedings of the International Conference on Intelligent Systems and Applications, pp. 214-221, 2024.</w:t>
      </w:r>
    </w:p>
    <w:p>
      <w:pPr>
        <w:spacing w:after="80" w:before="0"/>
        <w:ind w:left="360" w:hanging="360"/>
        <w:jc w:val="both"/>
      </w:pPr>
      <w:r>
        <w:rPr>
          <w:rFonts w:ascii="Times New Roman" w:cs="Times New Roman" w:eastAsia="Times New Roman" w:hAnsi="Times New Roman"/>
          <w:sz w:val="20"/>
          <w:szCs w:val="20"/>
        </w:rPr>
        <w:t xml:space="preserve">[33] T. FastAPI, S. Ramirez, "FastAPI: Modern, Fast Web Framework for Building APIs with Python," GitHub Repository, 2023. [Online]. Available: https://github.com/tiangolo/fastapi</w:t>
      </w:r>
    </w:p>
    <w:p>
      <w:pPr>
        <w:spacing w:after="80" w:before="0"/>
        <w:ind w:left="360" w:hanging="360"/>
        <w:jc w:val="both"/>
      </w:pPr>
      <w:r>
        <w:rPr>
          <w:rFonts w:ascii="Times New Roman" w:cs="Times New Roman" w:eastAsia="Times New Roman" w:hAnsi="Times New Roman"/>
          <w:sz w:val="20"/>
          <w:szCs w:val="20"/>
        </w:rPr>
        <w:t xml:space="preserve">[34] A. Kumar and R. Patel, "Failure Mode Analysis in Agentic Literature Retrieval Pipelines: Deduplication, Scope Drift, and Remediation Strategies," in Proceedings of the ACM Conference on Information and Knowledge Management (CIKM), pp. 1102-1111, 2026.</w:t>
      </w:r>
    </w:p>
    <w:p>
      <w:pPr>
        <w:spacing w:after="80" w:before="0"/>
        <w:ind w:left="360" w:hanging="360"/>
        <w:jc w:val="both"/>
      </w:pPr>
      <w:r>
        <w:rPr>
          <w:rFonts w:ascii="Times New Roman" w:cs="Times New Roman" w:eastAsia="Times New Roman" w:hAnsi="Times New Roman"/>
          <w:sz w:val="20"/>
          <w:szCs w:val="20"/>
        </w:rPr>
        <w:t xml:space="preserve">[35] L. Wang, C. Ma, X. Feng, Z. Zhang, H. Yang, J. Zhang, Z. Chen, J. Tang, X. Chen, Y. Lin, W. X. Zhao, Z. Wei, and J.-R. Wen, "A Survey on Large Language Model Based Autonomous Agents," Frontiers of Computer Science, vol. 18, no. 6, p. 186345,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2026-07-01T08:35:57.667Z</dcterms:created>
  <dcterms:modified xsi:type="dcterms:W3CDTF">2026-07-01T08:35:57.667Z</dcterms:modified>
</cp:coreProperties>
</file>

<file path=docProps/custom.xml><?xml version="1.0" encoding="utf-8"?>
<Properties xmlns="http://schemas.openxmlformats.org/officeDocument/2006/custom-properties" xmlns:vt="http://schemas.openxmlformats.org/officeDocument/2006/docPropsVTypes"/>
</file>