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0"/>
          <w:szCs w:val="30"/>
        </w:rPr>
        <w:t xml:space="preserve">Automating the Scientific Synthesis Loop: A Cascading Multi-Agent Framework for End-to-End Literature Review Generation</w:t>
      </w:r>
    </w:p>
    <w:p>
      <w:pPr>
        <w:spacing w:after="0" w:before="160"/>
        <w:jc w:val="center"/>
      </w:pPr>
      <w:r>
        <w:rPr>
          <w:rFonts w:ascii="Times New Roman" w:cs="Times New Roman" w:eastAsia="Times New Roman" w:hAnsi="Times New Roman"/>
          <w:b/>
          <w:bCs/>
          <w:sz w:val="22"/>
          <w:szCs w:val="22"/>
        </w:rPr>
        <w:t xml:space="preserve">Muhammad Ahsan Ali Gill</w:t>
      </w:r>
    </w:p>
    <w:p>
      <w:pPr>
        <w:spacing w:after="80" w:before="0"/>
        <w:jc w:val="center"/>
      </w:pPr>
      <w:r>
        <w:rPr>
          <w:rFonts w:ascii="Times New Roman" w:cs="Times New Roman" w:eastAsia="Times New Roman" w:hAnsi="Times New Roman"/>
          <w:i/>
          <w:iCs/>
          <w:sz w:val="20"/>
          <w:szCs w:val="20"/>
        </w:rPr>
        <w:t xml:space="preserve">ahs462agk@gmail.com</w:t>
      </w:r>
    </w:p>
    <w:p>
      <w:pPr>
        <w:spacing w:after="0" w:before="0"/>
        <w:jc w:val="center"/>
      </w:pPr>
      <w:r>
        <w:rPr>
          <w:rFonts w:ascii="Times New Roman" w:cs="Times New Roman" w:eastAsia="Times New Roman" w:hAnsi="Times New Roman"/>
          <w:b/>
          <w:bCs/>
          <w:sz w:val="22"/>
          <w:szCs w:val="22"/>
        </w:rPr>
        <w:t xml:space="preserve">Supervised by: Muhammad Saeed</w:t>
      </w:r>
    </w:p>
    <w:p>
      <w:pPr>
        <w:spacing w:after="200" w:before="0"/>
        <w:jc w:val="center"/>
      </w:pPr>
      <w:r>
        <w:rPr>
          <w:rFonts w:ascii="Times New Roman" w:cs="Times New Roman" w:eastAsia="Times New Roman" w:hAnsi="Times New Roman"/>
          <w:i/>
          <w:iCs/>
          <w:sz w:val="20"/>
          <w:szCs w:val="20"/>
        </w:rPr>
        <w:t xml:space="preserve">msaeed4771@gmail.com</w:t>
      </w:r>
    </w:p>
    <w:p>
      <w:pPr>
        <w:spacing w:after="100" w:before="0"/>
        <w:jc w:val="center"/>
      </w:pPr>
      <w:r>
        <w:rPr>
          <w:rFonts w:ascii="Times New Roman" w:cs="Times New Roman" w:eastAsia="Times New Roman" w:hAnsi="Times New Roman"/>
          <w:b/>
          <w:bCs/>
          <w:sz w:val="26"/>
          <w:szCs w:val="26"/>
        </w:rPr>
        <w:t xml:space="preserve">Abstract</w:t>
      </w:r>
    </w:p>
    <w:p>
      <w:pPr>
        <w:spacing w:after="120" w:before="0" w:line="276" w:lineRule="auto"/>
        <w:jc w:val="both"/>
      </w:pPr>
      <w:r>
        <w:rPr>
          <w:rFonts w:ascii="Times New Roman" w:cs="Times New Roman" w:eastAsia="Times New Roman" w:hAnsi="Times New Roman"/>
          <w:sz w:val="24"/>
          <w:szCs w:val="24"/>
        </w:rPr>
        <w:t xml:space="preserve">The exponential growth of scholarly publication output has rendered manual literature review an increasingly unsustainable component of the research lifecycle. While Large Language Models (LLMs) have demonstrated competence in isolated subtasks such as summarization and clinical question answering, static single-pass prompting architectures remain structurally incapable of replicating the iterative, evaluative, and self-correcting nature of human scholarly review. This paper presents a cascading multi-agent framework implemented as MedGraph using the LangGraph orchestration engine, which automates the biomedical literature review pipeline, transforming a raw natural-language clinical query into a structured, citation-grounded synthesis document without manual intervention. The architecture decomposes the review process into specialized, role-bound agents governed by a Perception-Reflection-Action execution loop and orchestrated through dynamic state-routing across a shared typed state graph. Distinct agents are responsible for MeSH-augmented query enhancement, automated PubMed retrieval via NCBI E-utilities, evidence-strength classification by study design, human-in-the-loop email collection, and asynchronous SMTP-based report delivery. The system achieves approximately 87% study-type classification accuracy against physician-annotated references, full email delivery success, and reduces end-to-end review latency by approximately 40-80x relative to manual workflows. The proposed framework establishes a reproducible, extensible blueprint for agentic automation of knowledge-intensive biomedical literature synthesis.</w:t>
      </w:r>
    </w:p>
    <w:p>
      <w:pPr>
        <w:spacing w:after="24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Agentic AI, LangGraph, Multi-Agent Systems, PubMed Retrieval, NCBI E-utilities, MeSH Query Enhancement, Biomedical Evidence Synthesis, Human-in-the-Loop, ReAct, SMTP Delivery</w:t>
      </w:r>
    </w:p>
    <w:p>
      <w:pPr>
        <w:spacing w:after="120" w:before="300"/>
      </w:pPr>
      <w:r>
        <w:rPr>
          <w:rFonts w:ascii="Times New Roman" w:cs="Times New Roman" w:eastAsia="Times New Roman" w:hAnsi="Times New Roman"/>
          <w:b/>
          <w:bCs/>
          <w:sz w:val="28"/>
          <w:szCs w:val="28"/>
        </w:rPr>
        <w:t xml:space="preserve">1. Introduction</w:t>
      </w:r>
    </w:p>
    <w:p>
      <w:pPr>
        <w:spacing w:after="120" w:before="0" w:line="276" w:lineRule="auto"/>
        <w:jc w:val="both"/>
      </w:pPr>
      <w:r>
        <w:rPr>
          <w:rFonts w:ascii="Times New Roman" w:cs="Times New Roman" w:eastAsia="Times New Roman" w:hAnsi="Times New Roman"/>
          <w:sz w:val="24"/>
          <w:szCs w:val="24"/>
        </w:rPr>
        <w:t xml:space="preserve">The volume of biomedical literature published annually has long since outpaced the capacity of any individual clinician or researcher to manually track, screen, and synthesize [21][26]. PubMed alone indexes over one million new citations each year [16], and a clinician querying current evidence for a single condition may need to screen dozens of articles of varying study designs and evidence quality before extracting an actionable summary [22][23]. This creates a practical need for systems that can perform the early stages of evidence review: query formulation, retrieval, study-type classification, and summarization, autonomously and reliably [4][24].</w:t>
      </w:r>
    </w:p>
    <w:p>
      <w:pPr>
        <w:spacing w:after="120" w:before="0" w:line="276" w:lineRule="auto"/>
        <w:jc w:val="both"/>
      </w:pPr>
      <w:r>
        <w:rPr>
          <w:rFonts w:ascii="Times New Roman" w:cs="Times New Roman" w:eastAsia="Times New Roman" w:hAnsi="Times New Roman"/>
          <w:sz w:val="24"/>
          <w:szCs w:val="24"/>
        </w:rPr>
        <w:t xml:space="preserve">Large language models have demonstrated competence in isolated biomedical subtasks [4][19][27][28], but a single LLM call is insufficient for end-to-end literature review automation. Effective automation requires an agent that can perceive a task (the user's clinical query), reflect on what information is needed (query enhancement with controlled vocabulary terms), act (calling the PubMed retrieval API), observe the results, and iteratively reason before moving to the next stage [2][3]. This Perception-Reflection-Action loop is the conceptual core of agentic AI [10][35], and it maps naturally onto a graph of specialized nodes connected by a shared persistent state [8][15].</w:t>
      </w:r>
    </w:p>
    <w:p>
      <w:pPr>
        <w:spacing w:after="120" w:before="0" w:line="276" w:lineRule="auto"/>
        <w:jc w:val="both"/>
      </w:pPr>
      <w:r>
        <w:rPr>
          <w:rFonts w:ascii="Times New Roman" w:cs="Times New Roman" w:eastAsia="Times New Roman" w:hAnsi="Times New Roman"/>
          <w:sz w:val="24"/>
          <w:szCs w:val="24"/>
        </w:rPr>
        <w:t xml:space="preserve">The LangGraph framework [8], building on the LangChain tooling ecosystem [15], provides precisely this substrate: a directed graph of typed agent nodes with conditional routing edges, a MemorySaver checkpointer that persists full state across long-running sessions, and an interrupt() primitive enabling human-in-the-loop pauses that can be resumed without recomputing completed stages. The ReAct (Reason-Act) pattern [2] further provides the agent-level control loop in which each agent interleaves reasoning traces with tool invocations; for the MedGraph system, the critical tool being the NCBI E-utilities API [6] for structured PubMed retrieval.</w:t>
      </w:r>
    </w:p>
    <w:p>
      <w:pPr>
        <w:spacing w:after="120" w:before="0" w:line="276" w:lineRule="auto"/>
        <w:jc w:val="both"/>
      </w:pPr>
      <w:r>
        <w:rPr>
          <w:rFonts w:ascii="Times New Roman" w:cs="Times New Roman" w:eastAsia="Times New Roman" w:hAnsi="Times New Roman"/>
          <w:sz w:val="24"/>
          <w:szCs w:val="24"/>
        </w:rPr>
        <w:t xml:space="preserve">This paper presents MedGraph, a concrete implementation of these principles: a four-agent LangGraph pipeline that accepts a natural-language biomedical query, enhances it with MeSH-augmented Boolean expressions [7][17], retrieves and structures PubMed articles via NCBI E-utilities [6], classifies each article by study design and evidence strength [22][23], collects a delivery address via HITL interrupt, and dispatches a styled HTML evidence report via SMTP [32]. Core contributions are: (1) a cascading multi-agent graph architecture with typed shared state (MedResearchState) and MemorySaver checkpointing [8]; (2) a MeSH-augmented query enhancement strategy with recency and abstract-availability filters [7][16]; (3) a ten-category study-type taxonomy with three-tier evidence badge classification [22][23]; and (4) a direct-tool-invocation dispatch pattern that bypasses LLM token limits for large payload delivery [32][33].</w:t>
      </w:r>
    </w:p>
    <w:p>
      <w:pPr>
        <w:spacing w:after="120" w:before="300"/>
      </w:pPr>
      <w:r>
        <w:rPr>
          <w:rFonts w:ascii="Times New Roman" w:cs="Times New Roman" w:eastAsia="Times New Roman" w:hAnsi="Times New Roman"/>
          <w:b/>
          <w:bCs/>
          <w:sz w:val="28"/>
          <w:szCs w:val="28"/>
        </w:rPr>
        <w:t xml:space="preserve">2. Literature Review</w:t>
      </w:r>
    </w:p>
    <w:p>
      <w:pPr>
        <w:spacing w:after="120" w:before="0" w:line="276" w:lineRule="auto"/>
        <w:jc w:val="both"/>
      </w:pPr>
      <w:r>
        <w:rPr>
          <w:rFonts w:ascii="Times New Roman" w:cs="Times New Roman" w:eastAsia="Times New Roman" w:hAnsi="Times New Roman"/>
          <w:sz w:val="24"/>
          <w:szCs w:val="24"/>
        </w:rPr>
        <w:t xml:space="preserve">This section analyzes 13 representative works from 2020 to 2026, organized chronologically, each examined along four pillars: problem addressed, methodology, key results, and limitations motivating the MedGraph design.</w:t>
      </w:r>
    </w:p>
    <w:p>
      <w:pPr>
        <w:spacing w:after="100" w:before="200"/>
      </w:pPr>
      <w:r>
        <w:rPr>
          <w:rFonts w:ascii="Times New Roman" w:cs="Times New Roman" w:eastAsia="Times New Roman" w:hAnsi="Times New Roman"/>
          <w:b/>
          <w:bCs/>
          <w:i/>
          <w:iCs/>
          <w:sz w:val="26"/>
          <w:szCs w:val="26"/>
        </w:rPr>
        <w:t xml:space="preserve">2.1 Foundational Retrieval and Reasoning Work (2020-2022)</w:t>
      </w:r>
    </w:p>
    <w:p>
      <w:pPr>
        <w:spacing w:after="120" w:before="0" w:line="276" w:lineRule="auto"/>
        <w:jc w:val="both"/>
      </w:pPr>
      <w:r>
        <w:rPr>
          <w:rFonts w:ascii="Times New Roman" w:cs="Times New Roman" w:eastAsia="Times New Roman" w:hAnsi="Times New Roman"/>
          <w:sz w:val="24"/>
          <w:szCs w:val="24"/>
        </w:rPr>
        <w:t xml:space="preserve">Lewis et al. [1] introduced Retrieval-Augmented Generation (RAG), demonstrating that grounding LLM generation in dynamically retrieved passages substantially reduces hallucination on knowledge-intensive tasks, establishing the foundational retrieve-then-generate pattern on which the MedGraph query ingestor builds. The limitation of this foundational work is that retrieval occurs exactly once per query with no iterative reformulation or post-generation verification, gaps the MedGraph pipeline addresses through MeSH-enhanced query construction and study-type-aware classification. Wei et al. [3] demonstrated that chain-of-thought prompting unlocks emergent multi-step reasoning in large models, providing the theoretical basis for the reasoning trace component of the ReAct loop [2] used in the med_query_ingestor agent.</w:t>
      </w:r>
    </w:p>
    <w:p>
      <w:pPr>
        <w:spacing w:after="120" w:before="0" w:line="276" w:lineRule="auto"/>
        <w:jc w:val="both"/>
      </w:pPr>
      <w:r>
        <w:rPr>
          <w:rFonts w:ascii="Times New Roman" w:cs="Times New Roman" w:eastAsia="Times New Roman" w:hAnsi="Times New Roman"/>
          <w:sz w:val="24"/>
          <w:szCs w:val="24"/>
        </w:rPr>
        <w:t xml:space="preserve">The NCBI E-utilities API [6] provides programmatic access to PubMed's 35+ million biomedical citations via a three-step pipeline: esearch (ID retrieval), esummary (metadata), and efetch (abstract and full-text content), constituting the primary retrieval substrate of MedGraph's ingestor agent. Medical Subject Headings (MeSH) [7][17], maintained by the National Library of Medicine, provide the controlled vocabulary used by the MedGraph query enhancement component to expand raw clinical queries into precision search expressions, appending [Mesh] field tags, hasabstract filters, and date-range constraints to ensure abstract availability and recency.</w:t>
      </w:r>
    </w:p>
    <w:p>
      <w:pPr>
        <w:spacing w:after="100" w:before="200"/>
      </w:pPr>
      <w:r>
        <w:rPr>
          <w:rFonts w:ascii="Times New Roman" w:cs="Times New Roman" w:eastAsia="Times New Roman" w:hAnsi="Times New Roman"/>
          <w:b/>
          <w:bCs/>
          <w:i/>
          <w:iCs/>
          <w:sz w:val="26"/>
          <w:szCs w:val="26"/>
        </w:rPr>
        <w:t xml:space="preserve">2.2 Biomedical NLP and Evidence Classification (2021-2023)</w:t>
      </w:r>
    </w:p>
    <w:p>
      <w:pPr>
        <w:spacing w:after="120" w:before="0" w:line="276" w:lineRule="auto"/>
        <w:jc w:val="both"/>
      </w:pPr>
      <w:r>
        <w:rPr>
          <w:rFonts w:ascii="Times New Roman" w:cs="Times New Roman" w:eastAsia="Times New Roman" w:hAnsi="Times New Roman"/>
          <w:sz w:val="24"/>
          <w:szCs w:val="24"/>
        </w:rPr>
        <w:t xml:space="preserve">Singhal et al. [4] demonstrated that large-scale biomedical instruction tuning enables LLMs to achieve expert-level performance on medical QA benchmarks, establishing that LLMs encode sufficient clinical knowledge to classify study designs and interpret methodological descriptions, a capability the MedGraph med_evidence_builder agent exploits for its ten-category study-type taxonomy. Jin et al. [5] quantified the gap between parametric LLM knowledge and literature-grounded answers in biomedical QA, motivating the MedGraph system's fundamental design choice of grounding classification in retrieved PubMed abstracts rather than parametric knowledge alone.</w:t>
      </w:r>
    </w:p>
    <w:p>
      <w:pPr>
        <w:spacing w:after="120" w:before="0" w:line="276" w:lineRule="auto"/>
        <w:jc w:val="both"/>
      </w:pPr>
      <w:r>
        <w:rPr>
          <w:rFonts w:ascii="Times New Roman" w:cs="Times New Roman" w:eastAsia="Times New Roman" w:hAnsi="Times New Roman"/>
          <w:sz w:val="24"/>
          <w:szCs w:val="24"/>
        </w:rPr>
        <w:t xml:space="preserve">Sackett et al. [22] established the hierarchy of evidence-based medicine in which systematic reviews and randomized controlled trials constitute the highest evidentiary tier, cohort and case-control studies constitute moderate evidence, and case reports and narrative reviews constitute preliminary evidence. The three-tier badge classification (strong/moderate/preliminary) implemented in MedGraph's evidence builder directly operationalizes this hierarchy. The Cochrane Handbook [23] provides the methodological reference for study design identification criteria, which MedGraph's evidence builder prompt operationalizes through keyword-matching heuristics for each of its ten recognized study-design categories. Tirunagari et al. [24] demonstrated automated extraction of structured information from PubMed abstracts using NLP, validating the feasibility of the structured record extraction approach employed by MedGraph's evidence builder.</w:t>
      </w:r>
    </w:p>
    <w:p>
      <w:pPr>
        <w:spacing w:after="100" w:before="200"/>
      </w:pPr>
      <w:r>
        <w:rPr>
          <w:rFonts w:ascii="Times New Roman" w:cs="Times New Roman" w:eastAsia="Times New Roman" w:hAnsi="Times New Roman"/>
          <w:b/>
          <w:bCs/>
          <w:i/>
          <w:iCs/>
          <w:sz w:val="26"/>
          <w:szCs w:val="26"/>
        </w:rPr>
        <w:t xml:space="preserve">2.3 Agentic Orchestration and Multi-Agent Systems (2023-2025)</w:t>
      </w:r>
    </w:p>
    <w:p>
      <w:pPr>
        <w:spacing w:after="120" w:before="0" w:line="276" w:lineRule="auto"/>
        <w:jc w:val="both"/>
      </w:pPr>
      <w:r>
        <w:rPr>
          <w:rFonts w:ascii="Times New Roman" w:cs="Times New Roman" w:eastAsia="Times New Roman" w:hAnsi="Times New Roman"/>
          <w:sz w:val="24"/>
          <w:szCs w:val="24"/>
        </w:rPr>
        <w:t xml:space="preserve">Yao et al. [2] introduced ReAct, demonstrating that interleaving reasoning traces with tool-action steps substantially outperforms reasoning-only or acting-only agents on knowledge-grounded QA tasks. The med_query_ingestor agent in MedGraph is implemented as a ReAct agent via LangGraph's create_react_agent() function, directly instantiating this pattern with the pubmed_to_pmc_full_text_search tool as its only action. Schick et al. [25] independently demonstrated that tool use can be taught to LLMs via self-supervised learning, further establishing the reliability of tool-invocation patterns that MedGraph depends on.</w:t>
      </w:r>
    </w:p>
    <w:p>
      <w:pPr>
        <w:spacing w:after="120" w:before="0" w:line="276" w:lineRule="auto"/>
        <w:jc w:val="both"/>
      </w:pPr>
      <w:r>
        <w:rPr>
          <w:rFonts w:ascii="Times New Roman" w:cs="Times New Roman" w:eastAsia="Times New Roman" w:hAnsi="Times New Roman"/>
          <w:sz w:val="24"/>
          <w:szCs w:val="24"/>
        </w:rPr>
        <w:t xml:space="preserve">LangChain AI [8][15] produced both the LangChain tooling ecosystem and the LangGraph orchestration framework, the latter providing MedGraph's directed-graph execution model, typed MedResearchState schema, MemorySaver checkpointing for HITL resumption, and the interrupt() primitive used in the email_collector node. Wu et al. [9] validated that multi-agent architectures outperform single-agent approaches on complex tasks; Acharya et al. [10] provided the taxonomic framework (autonomy, goal-directedness, adaptivity, proactivity) against which MedGraph's agentic credentials can be formally evaluated. Karunayake [11] and Schmidgall et al. [30] validated HITL interrupt design principles for agentic systems in healthcare settings, consistent with MedGraph's email_collector interrupt node design.</w:t>
      </w:r>
    </w:p>
    <w:p>
      <w:pPr>
        <w:spacing w:after="100" w:before="200"/>
      </w:pPr>
      <w:r>
        <w:rPr>
          <w:rFonts w:ascii="Times New Roman" w:cs="Times New Roman" w:eastAsia="Times New Roman" w:hAnsi="Times New Roman"/>
          <w:b/>
          <w:bCs/>
          <w:i/>
          <w:iCs/>
          <w:sz w:val="26"/>
          <w:szCs w:val="26"/>
        </w:rPr>
        <w:t xml:space="preserve">2.4 Recent Agentic Systems and Identified Gaps (2024-2026)</w:t>
      </w:r>
    </w:p>
    <w:p>
      <w:pPr>
        <w:spacing w:after="120" w:before="0" w:line="276" w:lineRule="auto"/>
        <w:jc w:val="both"/>
      </w:pPr>
      <w:r>
        <w:rPr>
          <w:rFonts w:ascii="Times New Roman" w:cs="Times New Roman" w:eastAsia="Times New Roman" w:hAnsi="Times New Roman"/>
          <w:sz w:val="24"/>
          <w:szCs w:val="24"/>
        </w:rPr>
        <w:t xml:space="preserve">Gao et al. [14] consolidated the RAG literature, confirming the dominance of retrieval-grounded generation and its limitations in single-pass settings without query reformulation, motivating MedGraph's MeSH-augmented query enhancement. Liu et al. [31] demonstrated performance degradation beyond five to seven sequential agent actions, motivating MedGraph's four-node decomposition in which each node has a narrow, bounded responsibility. Hosseini and Seilani [26] identified biomedical literature synthesis as a high-potential but underexplored agentic application domain, positioning MedGraph directly within this gap. Kumar and Patel [34] characterized duplicate-record retrieval and scope drift as systematic failures in agentic retrieval pipelines, motivating the hasabstract filter and date constraints MedGraph applies during query enhancement. Moralles et al. [12] established that manual systematic reviews are themselves unsustainable at current publication growth rates, the precise problem MedGraph is designed to automate.</w:t>
      </w:r>
    </w:p>
    <w:p>
      <w:pPr>
        <w:spacing w:after="120" w:before="0" w:line="276" w:lineRule="auto"/>
        <w:jc w:val="both"/>
      </w:pPr>
      <w:r>
        <w:rPr>
          <w:rFonts w:ascii="Times New Roman" w:cs="Times New Roman" w:eastAsia="Times New Roman" w:hAnsi="Times New Roman"/>
          <w:sz w:val="24"/>
          <w:szCs w:val="24"/>
        </w:rPr>
        <w:t xml:space="preserve">Wang et al. [35] surveys 86 papers on LLM-based autonomous agents, confirming the perception-action-reflection loop as the dominant agentic design pattern across domains. The LLM underlying MedGraph's agents, Gemini 2.5 Flash [28] via OpenRouter, is a multimodal model with demonstrated strong performance on biomedical reasoning tasks, selected for its extended context window and cost efficiency for high-volume abstract processing.</w:t>
      </w:r>
    </w:p>
    <w:p>
      <w:pPr>
        <w:spacing w:after="100" w:before="200"/>
        <w:jc w:val="center"/>
      </w:pPr>
      <w:r>
        <w:rPr>
          <w:rFonts w:ascii="Times New Roman" w:cs="Times New Roman" w:eastAsia="Times New Roman" w:hAnsi="Times New Roman"/>
          <w:b/>
          <w:bCs/>
          <w:sz w:val="24"/>
          <w:szCs w:val="24"/>
        </w:rPr>
        <w:t xml:space="preserve">Table 1: Comparative Synthesis of Reviewed Literature (2020-2026)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800"/>
        <w:gridCol w:w="2000"/>
        <w:gridCol w:w="2300"/>
      </w:tblGrid>
      <w:tr>
        <w:trPr>
          <w:tblHeader/>
        </w:trPr>
        <w:tc>
          <w:tcPr>
            <w:tcW w:type="dxa" w:w="10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Author &amp; Year</w:t>
            </w:r>
          </w:p>
        </w:tc>
        <w:tc>
          <w:tcPr>
            <w:tcW w:type="dxa" w:w="17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Problem</w:t>
            </w:r>
          </w:p>
        </w:tc>
        <w:tc>
          <w:tcPr>
            <w:tcW w:type="dxa" w:w="18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Methodology</w:t>
            </w:r>
          </w:p>
        </w:tc>
        <w:tc>
          <w:tcPr>
            <w:tcW w:type="dxa" w:w="20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Key Results</w:t>
            </w:r>
          </w:p>
        </w:tc>
        <w:tc>
          <w:tcPr>
            <w:tcW w:type="dxa" w:w="23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Limitations/Gaps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Lewis et al. [1] (2020)</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hallucinate on knowledge-intensive tasks due to static parametric knowledge</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Retrieval-Augmented Generation (RAG): dense retrieval + seq2seq generation</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Grounded generation substantially reduces hallucination vs. closed-book models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Single retrieval pass per query; no iterative reformulation or verification loop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Yao et al. [2]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unable to interleave reasoning and action in tool-use tasks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ReAct: synergized chain-of-thought reasoning traces with tool-action steps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Outperformed reasoning-only and acting-only agents on QA and decision tasks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Trajectory length remains bounded; no multi-agent state sharing across subtasks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Wei et al. [3] (2022)</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Complex multi-step reasoning fails in standard LLM prompting</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Chain-of-Thought (CoT) prompting with few-shot exemplars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Unlocked emergent multi-step reasoning in large models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Still single-agent; no external retrieval or tool invocation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Singhal et al. [4]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lack reliable clinical knowledge for medical QA</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Med-PaLM 2: large-scale biomedical fine-tuning and instruction tuning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Expert-level performance on USMLE-style medical QA benchmarks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Closed-book; does not retrieve or ground answers in live PubMed literature</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Jin et al. [5] (2024)</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Evaluating factual alignment between LLM outputs and PubMed literature</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Extended PubMedQA evaluation with reference-answer grounding framework</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Quantified substantial gap between parametric knowledge and literature-grounded answers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Evaluative only; proposes no retrieval architecture to close the grounding gap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NCBI NLM [6]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Programmatic access to 35M+ biomedical citations and full-text articles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NCBI E-utilities REST API: esearch, esummary, efetch pipeline</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Structured metadata and abstract retrieval at scale for automated pipelines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Rate-limited; requires careful throttling and progressive checkpoint logic</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Bodenreider [7] (2004)</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Uncontrolled biomedical terminology leads to imprecise literature queries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Medical Subject Headings (MeSH): hierarchical controlled vocabulary for PubMed indexing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Standardized biomedical concept mapping enabling precision literature retrieval</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Static vocabulary requiring manual term lookup; must be integrated into query pipelines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LangChain AI [8]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Building stateful multi-actor LLM applications with checkpointed interrupts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LangGraph: directed-graph agent orchestration with typed state and MemorySaver checkpointing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Production-grade substrate enabling graph-based multi-agent pipelines and HITL pauses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Domain-agnostic infrastructure; no pre-built biomedical retrieval or classification schema</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Wu et al. [9] (2024)</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Tasks exceeding single-LLM capacity requiring collaborative agent coordination</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AutoGen: conversational multi-agent dialogue with orchestrator-managed turn-taking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Multi-agent dialogue solved tasks unsolvable by single-agent prompting</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Unstructured natural-language handoffs; no typed shared state for intermediate artifacts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Acharya et al. [10]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No unifying definition or taxonomy of agentic AI systems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Cross-domain survey deriving operational taxonomy: autonomy, goal-directedness, adaptivity, proactivity</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Measurable agentic property taxonomy for evaluating any candidate system</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Descriptive survey only; not instantiated for any specific task domain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Karunayake [11]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Integrating agentic AI into clinical and administrative healthcare workflows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multi-agent architecture mapping agent roles to healthcare process steps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Design principles for human-in-the-loop integration in high-stakes clinical settings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only; no quantitative evaluation; does not address literature retrieval</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Mohalles et al. [12] (2026)</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Lack of consolidated architectural reference for agentic AI systems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systematic literature review with structured screening and taxonomy extraction</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Taxonomy of agentic architectural motifs: planner-executor, memory modules, tool-use</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review itself is unsustainable at current publication growth rates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MedGraph [13] (2026)</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Automated PubMed evidence retrieval, classification, and email-based dissemination</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Four-node LangGraph pipeline: ReAct retrieval, LLM evidence classification, HITL interrupt, SMTP dispatch</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~87% study-type classification accuracy vs. physician annotation; full delivery success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Scoped to PubMed only; no dynamic query reformulation loop or draft verification stage</w:t>
            </w:r>
          </w:p>
        </w:tc>
      </w:tr>
    </w:tbl>
    <w:p>
      <w:pPr>
        <w:spacing w:after="120" w:before="300"/>
      </w:pPr>
      <w:r>
        <w:rPr>
          <w:rFonts w:ascii="Times New Roman" w:cs="Times New Roman" w:eastAsia="Times New Roman" w:hAnsi="Times New Roman"/>
          <w:b/>
          <w:bCs/>
          <w:sz w:val="28"/>
          <w:szCs w:val="28"/>
        </w:rPr>
        <w:t xml:space="preserve">3. Methodology: MedGraph Framework Architecture</w:t>
      </w:r>
    </w:p>
    <w:p>
      <w:pPr>
        <w:spacing w:after="100" w:before="200"/>
      </w:pPr>
      <w:r>
        <w:rPr>
          <w:rFonts w:ascii="Times New Roman" w:cs="Times New Roman" w:eastAsia="Times New Roman" w:hAnsi="Times New Roman"/>
          <w:b/>
          <w:bCs/>
          <w:i/>
          <w:iCs/>
          <w:sz w:val="26"/>
          <w:szCs w:val="26"/>
        </w:rPr>
        <w:t xml:space="preserve">3.1 Overall Graph Architecture</w:t>
      </w:r>
    </w:p>
    <w:p>
      <w:pPr>
        <w:spacing w:after="120" w:before="0" w:line="276" w:lineRule="auto"/>
        <w:jc w:val="both"/>
      </w:pPr>
      <w:r>
        <w:rPr>
          <w:rFonts w:ascii="Times New Roman" w:cs="Times New Roman" w:eastAsia="Times New Roman" w:hAnsi="Times New Roman"/>
          <w:sz w:val="24"/>
          <w:szCs w:val="24"/>
        </w:rPr>
        <w:t xml:space="preserve">MedGraph is implemented as a directed acyclic graph G = (V, E, S, T) where V = {med_query_ingestor, med_evidence_builder, email_collector, med_email_dispatcher}, E defines the sequential edges connecting these nodes from START to END, S = MedResearchState (a typed state object extending LangGraph's MessagesState with four additional fields: articles_report, evidence_report, recipient_email, and email_status), and T = MemorySaver, LangGraph's in-memory checkpointer that serializes the full state after every node transition. The pipeline is exposed via FastAPI through two endpoints: POST /research/start initiates a session and streams events via Server-Sent Events until the email_collector interrupt is reached, and POST /research/resume-email accepts the user's delivery address and resumes the paused thread via LangGraph's Command(resume=...) mechanism.</w:t>
      </w:r>
    </w:p>
    <w:p>
      <w:pPr>
        <w:spacing w:after="0" w:before="200"/>
        <w:jc w:val="center"/>
      </w:pPr>
      <w:r>
        <w:drawing>
          <wp:inline distT="0" distB="0" distL="0" distR="0">
            <wp:extent cx="5524500" cy="2771775"/>
            <wp:effectExtent t="0" r="0" b="0" l="0"/>
            <wp:docPr id="1" name="Figure 1: MedGraph — Agentic LLM Pipeline for Automated Biomedical Evidence Synthesis" descr="Figure 1: MedGraph — Agentic LLM Pipeline for Automated Biomedical Evidence Synthesis" title="Figure 1: MedGraph — Agentic LLM Pipeline for Automated Biomedical Evidence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71775"/>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1:</w:t>
      </w:r>
      <w:r>
        <w:rPr>
          <w:rFonts w:ascii="Times New Roman" w:cs="Times New Roman" w:eastAsia="Times New Roman" w:hAnsi="Times New Roman"/>
          <w:i/>
          <w:iCs/>
          <w:color w:val="000000"/>
          <w:sz w:val="22"/>
          <w:szCs w:val="22"/>
        </w:rPr>
        <w:t xml:space="preserve"> MedGraph — Agentic LLM Pipeline for Automated Biomedical Evidence Synthesis</w:t>
      </w:r>
    </w:p>
    <w:p>
      <w:pPr>
        <w:spacing w:after="0" w:before="200"/>
        <w:jc w:val="center"/>
      </w:pPr>
      <w:r>
        <w:drawing>
          <wp:inline distT="0" distB="0" distL="0" distR="0">
            <wp:extent cx="5905500" cy="3848100"/>
            <wp:effectExtent t="0" r="0" b="0" l="0"/>
            <wp:docPr id="1" name="Figure 2: MedResearchState Dataflow and Node Transition Diagram" descr="Figure 2: MedResearchState Dataflow and Node Transition Diagram" title="Figure 2: MedResearchState Dataflow and Nod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48100"/>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2:</w:t>
      </w:r>
      <w:r>
        <w:rPr>
          <w:rFonts w:ascii="Times New Roman" w:cs="Times New Roman" w:eastAsia="Times New Roman" w:hAnsi="Times New Roman"/>
          <w:i/>
          <w:iCs/>
          <w:color w:val="000000"/>
          <w:sz w:val="22"/>
          <w:szCs w:val="22"/>
        </w:rPr>
        <w:t xml:space="preserve"> MedResearchState Dataflow and Node Transition Diagram</w:t>
      </w:r>
    </w:p>
    <w:p>
      <w:pPr>
        <w:spacing w:after="100" w:before="200"/>
      </w:pPr>
      <w:r>
        <w:rPr>
          <w:rFonts w:ascii="Times New Roman" w:cs="Times New Roman" w:eastAsia="Times New Roman" w:hAnsi="Times New Roman"/>
          <w:b/>
          <w:bCs/>
          <w:i/>
          <w:iCs/>
          <w:sz w:val="26"/>
          <w:szCs w:val="26"/>
        </w:rPr>
        <w:t xml:space="preserve">3.2 Node 1: Med Query Ingestor (MeSH Enhancement + ReAct Retrieval)</w:t>
      </w:r>
    </w:p>
    <w:p>
      <w:pPr>
        <w:spacing w:after="120" w:before="0" w:line="276" w:lineRule="auto"/>
        <w:jc w:val="both"/>
      </w:pPr>
      <w:r>
        <w:rPr>
          <w:rFonts w:ascii="Times New Roman" w:cs="Times New Roman" w:eastAsia="Times New Roman" w:hAnsi="Times New Roman"/>
          <w:sz w:val="24"/>
          <w:szCs w:val="24"/>
        </w:rPr>
        <w:t xml:space="preserve">The first agent is a ReAct agent [2] instantiated via create_react_agent(model, tools=[pubmed_to_pmc_full_text_search], prompt=MED_QUERY_INGESTOR_INSTRUCTION). Its responsibilities execute in order: (i) topic screening: the agent scans the input for biomedical or clinical content, discarding any non-medical text, and declines queries outside the biomedical domain; (ii) MeSH-augmented query enhancement: the extracted topic is expanded with MeSH terms, synonyms, and related concepts, then the query string has AND hasabstract appended to guarantee abstract availability and a date filter (AND ("2020/01/01"[PDat]:"3000/12/31"[PDat])) appended for recency [16]; (iii) retrieval: the enhanced query is passed to pubmed_to_pmc_full_text_search(query, max_results=10), which executes the three-step NCBI E-utilities pipeline [6] (esearch → esummary → efetch) returning structured JSON for each article; and (iv) output formatting: each article is rendered into a fixed-format card (title, authors, journal, date, abstract summary, PubMed link), with no additional commentary permitted. Output is written to state.articles_report.</w:t>
      </w:r>
    </w:p>
    <w:p>
      <w:pPr>
        <w:spacing w:after="100" w:before="200"/>
        <w:jc w:val="center"/>
      </w:pPr>
      <w:r>
        <w:rPr>
          <w:rFonts w:ascii="Times New Roman" w:cs="Times New Roman" w:eastAsia="Times New Roman" w:hAnsi="Times New Roman"/>
          <w:b/>
          <w:bCs/>
          <w:sz w:val="24"/>
          <w:szCs w:val="24"/>
        </w:rPr>
        <w:t xml:space="preserve">Query Enhancement Example , Raw Input vs. MeSH-Augmented Boolean Expression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tblGrid>
      <w:tr>
        <w:trPr>
          <w:tblHeader/>
        </w:trPr>
        <w:tc>
          <w:tcPr>
            <w:tcW w:type="dxa" w:w="3800"/>
            <w:shd w:fill="EEEEE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000000"/>
                <w:sz w:val="19"/>
                <w:szCs w:val="19"/>
              </w:rPr>
              <w:t xml:space="preserve">Raw User Input Query</w:t>
            </w:r>
          </w:p>
        </w:tc>
        <w:tc>
          <w:tcPr>
            <w:tcW w:type="dxa" w:w="5000"/>
            <w:shd w:fill="EEEEE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000000"/>
                <w:sz w:val="19"/>
                <w:szCs w:val="19"/>
              </w:rPr>
              <w:t xml:space="preserve">Enhanced System Query (MeSH-Augmented Boolean Expression)</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i/>
                <w:iCs/>
                <w:sz w:val="19"/>
                <w:szCs w:val="19"/>
              </w:rPr>
              <w:t xml:space="preserve">"latest treatments for type 2 diabetes"</w:t>
            </w:r>
          </w:p>
        </w:tc>
        <w:tc>
          <w:tcPr>
            <w:tcW w:type="dxa" w:w="5000"/>
            <w:tcMar>
              <w:top w:type="dxa" w:w="60"/>
              <w:left w:type="dxa" w:w="100"/>
              <w:bottom w:type="dxa" w:w="60"/>
              <w:right w:type="dxa" w:w="100"/>
            </w:tcMar>
          </w:tcPr>
          <w:p>
            <w:pPr>
              <w:spacing w:after="40" w:before="40"/>
            </w:pPr>
            <w:r>
              <w:rPr>
                <w:rFonts w:ascii="Times New Roman" w:cs="Times New Roman" w:eastAsia="Times New Roman" w:hAnsi="Times New Roman"/>
                <w:sz w:val="19"/>
                <w:szCs w:val="19"/>
              </w:rPr>
              <w:t xml:space="preserve">(Type 2 Diabetes[Mesh] OR "diabetes mellitus type 2" OR "T2DM") AND ("treatment" OR "therapy" OR "management" OR "intervention") AND hasabstract AND ("2020/01/01"[PDat] : "3000/12/31"[PDat])</w:t>
            </w:r>
          </w:p>
        </w:tc>
      </w:tr>
    </w:tbl>
    <w:p>
      <w:pPr>
        <w:spacing w:after="100" w:before="200"/>
      </w:pPr>
      <w:r>
        <w:rPr>
          <w:rFonts w:ascii="Times New Roman" w:cs="Times New Roman" w:eastAsia="Times New Roman" w:hAnsi="Times New Roman"/>
          <w:b/>
          <w:bCs/>
          <w:i/>
          <w:iCs/>
          <w:sz w:val="26"/>
          <w:szCs w:val="26"/>
        </w:rPr>
        <w:t xml:space="preserve">3.3 Node 2: Med Evidence Builder (Study-Type Classification)</w:t>
      </w:r>
    </w:p>
    <w:p>
      <w:pPr>
        <w:spacing w:after="120" w:before="0" w:line="276" w:lineRule="auto"/>
        <w:jc w:val="both"/>
      </w:pPr>
      <w:r>
        <w:rPr>
          <w:rFonts w:ascii="Times New Roman" w:cs="Times New Roman" w:eastAsia="Times New Roman" w:hAnsi="Times New Roman"/>
          <w:sz w:val="24"/>
          <w:szCs w:val="24"/>
        </w:rPr>
        <w:t xml:space="preserve">The second agent is a direct LLM call (no tool loop required, since all necessary information is already present in state.articles_report). Governed by MED_EVIDENCE_BUILDER_INSTRUCTION, it operates in three steps: (i) no-results check: if the input contains no articles the agent outputs a fixed decline message; (ii) study-type detection: each article is classified into one of ten recognized study-design categories (systematic review/meta-analysis, RCT, cohort study, case-control study, cross-sectional study, case report/series, narrative review, GWAS/genomic study, laboratory/in-vitro/animal study, or clinical guideline/consensus statement) by matching characteristic keywords in the title and abstract against a reference table embedded in the prompt, operationalizing the established evidence hierarchy [22][23]; and (iii) evidence-strength badging: each classified article receives a three-tier badge (green for strong evidence: systematic reviews, meta-analyses, large RCTs; yellow for moderate evidence: smaller RCTs, cohort studies, case-control studies, guidelines; red for preliminary: cross-sectional studies, case reports, narrative reviews, laboratory studies), with an adaptive structured card generated per article using a template specific to its detected study type. Output is written to state.evidence_report.</w:t>
      </w:r>
    </w:p>
    <w:p>
      <w:pPr>
        <w:spacing w:after="100" w:before="200"/>
      </w:pPr>
      <w:r>
        <w:rPr>
          <w:rFonts w:ascii="Times New Roman" w:cs="Times New Roman" w:eastAsia="Times New Roman" w:hAnsi="Times New Roman"/>
          <w:b/>
          <w:bCs/>
          <w:i/>
          <w:iCs/>
          <w:sz w:val="26"/>
          <w:szCs w:val="26"/>
        </w:rPr>
        <w:t xml:space="preserve">3.4 Node 3: Email Collector (Human-in-the-Loop Interrupt)</w:t>
      </w:r>
    </w:p>
    <w:p>
      <w:pPr>
        <w:spacing w:after="120" w:before="0" w:line="276" w:lineRule="auto"/>
        <w:jc w:val="both"/>
      </w:pPr>
      <w:r>
        <w:rPr>
          <w:rFonts w:ascii="Times New Roman" w:cs="Times New Roman" w:eastAsia="Times New Roman" w:hAnsi="Times New Roman"/>
          <w:sz w:val="24"/>
          <w:szCs w:val="24"/>
        </w:rPr>
        <w:t xml:space="preserve">This node is a plain Python function rather than an LLM call. It calls LangGraph's interrupt() primitive [8] with a fixed prompt requesting a delivery email address, which suspends graph execution and surfaces the prompt to the FastAPI client via the streaming SSE endpoint. Because the graph was compiled with MemorySaver, the entire accumulated state, including articles_report and evidence_report, is preserved across this suspension regardless of duration. When the client calls /research/resume-email with the recipient address, LangGraph resumes execution at this exact node, writes the address to state.recipient_email, and appends a confirmation AIMessage. This HITL checkpoint design follows the principles validated in healthcare agentic systems [11][30], ensuring that report delivery is always intentional and directed.</w:t>
      </w:r>
    </w:p>
    <w:p>
      <w:pPr>
        <w:spacing w:after="100" w:before="200"/>
      </w:pPr>
      <w:r>
        <w:rPr>
          <w:rFonts w:ascii="Times New Roman" w:cs="Times New Roman" w:eastAsia="Times New Roman" w:hAnsi="Times New Roman"/>
          <w:b/>
          <w:bCs/>
          <w:i/>
          <w:iCs/>
          <w:sz w:val="26"/>
          <w:szCs w:val="26"/>
        </w:rPr>
        <w:t xml:space="preserve">3.5 Node 4: Med Email Dispatcher (Direct Tool Execution)</w:t>
      </w:r>
    </w:p>
    <w:p>
      <w:pPr>
        <w:spacing w:after="120" w:before="0" w:line="276" w:lineRule="auto"/>
        <w:jc w:val="both"/>
      </w:pPr>
      <w:r>
        <w:rPr>
          <w:rFonts w:ascii="Times New Roman" w:cs="Times New Roman" w:eastAsia="Times New Roman" w:hAnsi="Times New Roman"/>
          <w:sz w:val="24"/>
          <w:szCs w:val="24"/>
        </w:rPr>
        <w:t xml:space="preserve">The final node is implemented as a direct Python function invoking the send_email tool without routing through an LLM call, a deliberate design choice to bypass LLM maximum output token limits when handling large combined payloads (potentially covering ten or more full article cards plus a complete evidence synthesis). The combined_content string merges the evidence report and article list under a fixed Markdown structure (executive evidence summary section followed by source articles section), passes this to send_email.invoke({evidence_report: combined_content, recipient_email: state.recipient_email}), which converts the Markdown to styled HTML and dispatches via SMTP [32][33]. The tool's return value is written to state.email_status and appended to the message history as the final pipeline output.</w:t>
      </w:r>
    </w:p>
    <w:p>
      <w:pPr>
        <w:spacing w:after="120" w:before="300"/>
      </w:pPr>
      <w:r>
        <w:rPr>
          <w:rFonts w:ascii="Times New Roman" w:cs="Times New Roman" w:eastAsia="Times New Roman" w:hAnsi="Times New Roman"/>
          <w:b/>
          <w:bCs/>
          <w:sz w:val="28"/>
          <w:szCs w:val="28"/>
        </w:rPr>
        <w:t xml:space="preserve">4. Results and Evaluation</w:t>
      </w:r>
    </w:p>
    <w:p>
      <w:pPr>
        <w:spacing w:after="100" w:before="200"/>
      </w:pPr>
      <w:r>
        <w:rPr>
          <w:rFonts w:ascii="Times New Roman" w:cs="Times New Roman" w:eastAsia="Times New Roman" w:hAnsi="Times New Roman"/>
          <w:b/>
          <w:bCs/>
          <w:i/>
          <w:iCs/>
          <w:sz w:val="26"/>
          <w:szCs w:val="26"/>
        </w:rPr>
        <w:t xml:space="preserve">4.1 System Output Deliverables</w:t>
      </w:r>
    </w:p>
    <w:p>
      <w:pPr>
        <w:spacing w:after="120" w:before="0" w:line="276" w:lineRule="auto"/>
        <w:jc w:val="both"/>
      </w:pPr>
      <w:r>
        <w:rPr>
          <w:rFonts w:ascii="Times New Roman" w:cs="Times New Roman" w:eastAsia="Times New Roman" w:hAnsi="Times New Roman"/>
          <w:sz w:val="24"/>
          <w:szCs w:val="24"/>
        </w:rPr>
        <w:t xml:space="preserve">For each completed MedGraph session, the system delivers a styled HTML email to the recipient address collected at the HITL checkpoint, containing two structured sections: an Executive Evidence Summary, comprising one adaptive evidence card per retrieved article (study type, evidence-strength badge, and a structured summary appropriate to that study type as specified in the MED_EVIDENCE_BUILDER_INSTRUCTION prompt); and a Source Articles section, containing the raw retrieval cards (title, authors, journal, publication date, abstract summary, and PubMed link) for every article returned by the enhanced PubMed query. A delivery confirmation is recorded in state.email_status. The pipeline exposes per-node timing logs via print statements capturing start time, completion time, and output character length, enabling stage-level latency attribution independent of the indefinite HITL pause.</w:t>
      </w:r>
    </w:p>
    <w:p>
      <w:pPr>
        <w:spacing w:after="100" w:before="200"/>
      </w:pPr>
      <w:r>
        <w:rPr>
          <w:rFonts w:ascii="Times New Roman" w:cs="Times New Roman" w:eastAsia="Times New Roman" w:hAnsi="Times New Roman"/>
          <w:b/>
          <w:bCs/>
          <w:i/>
          <w:iCs/>
          <w:sz w:val="26"/>
          <w:szCs w:val="26"/>
        </w:rPr>
        <w:t xml:space="preserve">4.2 Performance Evaluation</w:t>
      </w:r>
    </w:p>
    <w:p>
      <w:pPr>
        <w:spacing w:after="120" w:before="0" w:line="276" w:lineRule="auto"/>
        <w:jc w:val="both"/>
      </w:pPr>
      <w:r>
        <w:rPr>
          <w:rFonts w:ascii="Times New Roman" w:cs="Times New Roman" w:eastAsia="Times New Roman" w:hAnsi="Times New Roman"/>
          <w:sz w:val="24"/>
          <w:szCs w:val="24"/>
        </w:rPr>
        <w:t xml:space="preserve">Evaluation was conducted across five clinical queries spanning diverse biomedical topics (diabetes management, hypertension treatment, COVID-19 outcomes, cancer immunotherapy, and antibiotic resistance), each with max_results=10. Full pipeline execution (excluding the HITL pause) completed in approximately 3 to 5 minutes per session. The med_query_ingestor stage, which includes one or more LLM reasoning calls plus three NCBI E-utilities API round-trips (esearch, esummary, efetch), accounted for the majority of processing time. The med_evidence_builder stage required a single LLM inference call whose duration scaled with the total character length of state.articles_report. The med_email_dispatcher stage completed in under five seconds in all sessions, dominated by SMTP connection and send latency .</w:t>
      </w:r>
    </w:p>
    <w:p>
      <w:pPr>
        <w:spacing w:after="120" w:before="0" w:line="276" w:lineRule="auto"/>
        <w:jc w:val="both"/>
      </w:pPr>
      <w:r>
        <w:rPr>
          <w:rFonts w:ascii="Times New Roman" w:cs="Times New Roman" w:eastAsia="Times New Roman" w:hAnsi="Times New Roman"/>
          <w:sz w:val="24"/>
          <w:szCs w:val="24"/>
        </w:rPr>
        <w:t xml:space="preserve">Study-type classification accuracy was evaluated by comparing the evidence builder's classifications against physician-annotated reference labels for 50 articles across the five test queries. The agent achieved approximately 87% agreement with physician annotation overall, with highest accuracy on systematic reviews and RCTs (which have strongly characteristic abstract-level linguistic patterns) and lowest accuracy on narrative reviews and cross-sectional studies (which are frequently mislabeled in authors' own abstracts). Email delivery succeeded in 100% of test sessions when valid SMTP credentials were provided. The ReAct-based retrieval pattern in the query ingestor substantially outperformed a direct-LLM-call alternative (without tool invocation) trialed in an ablation condition, confirming the necessity of the tool-use loop for reliable PubMed API access, consistent with prior findings in the literature.</w:t>
      </w:r>
    </w:p>
    <w:p>
      <w:pPr>
        <w:spacing w:after="0" w:before="200"/>
        <w:jc w:val="center"/>
      </w:pPr>
      <w:r>
        <w:drawing>
          <wp:inline distT="0" distB="0" distL="0" distR="0">
            <wp:extent cx="5905500" cy="3352800"/>
            <wp:effectExtent t="0" r="0" b="0" l="0"/>
            <wp:docPr id="1" name="Figure 3: Per-Node Latency Breakdown — MedGraph Pipeline vs. Manual Baseline" descr="Figure 3: Per-Node Latency Breakdown — MedGraph Pipeline vs. Manual Baseline" title="Figure 3: Per-Node Latency Breakdown — MedGraph Pipeline vs. Man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52800"/>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3:</w:t>
      </w:r>
      <w:r>
        <w:rPr>
          <w:rFonts w:ascii="Times New Roman" w:cs="Times New Roman" w:eastAsia="Times New Roman" w:hAnsi="Times New Roman"/>
          <w:i/>
          <w:iCs/>
          <w:color w:val="000000"/>
          <w:sz w:val="22"/>
          <w:szCs w:val="22"/>
        </w:rPr>
        <w:t xml:space="preserve"> Per-Node Latency Breakdown — MedGraph Pipeline vs. Manual Baseline</w:t>
      </w:r>
    </w:p>
    <w:p>
      <w:pPr>
        <w:spacing w:after="100" w:before="200"/>
        <w:jc w:val="center"/>
      </w:pPr>
      <w:r>
        <w:rPr>
          <w:rFonts w:ascii="Times New Roman" w:cs="Times New Roman" w:eastAsia="Times New Roman" w:hAnsi="Times New Roman"/>
          <w:b/>
          <w:bCs/>
          <w:sz w:val="24"/>
          <w:szCs w:val="24"/>
        </w:rPr>
        <w:t xml:space="preserve">Table 3: MedGraph System Performance and Efficiency Benchmarks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tblGrid>
      <w:tr>
        <w:trPr>
          <w:tblHeader/>
        </w:trPr>
        <w:tc>
          <w:tcPr>
            <w:tcW w:type="dxa" w:w="2600"/>
            <w:shd w:fill="EEEEE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000000"/>
                <w:sz w:val="19"/>
                <w:szCs w:val="19"/>
              </w:rPr>
              <w:t xml:space="preserve">Parameter</w:t>
            </w:r>
          </w:p>
        </w:tc>
        <w:tc>
          <w:tcPr>
            <w:tcW w:type="dxa" w:w="3100"/>
            <w:shd w:fill="EEEEE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000000"/>
                <w:sz w:val="19"/>
                <w:szCs w:val="19"/>
              </w:rPr>
              <w:t xml:space="preserve">MedGraph System</w:t>
            </w:r>
          </w:p>
        </w:tc>
        <w:tc>
          <w:tcPr>
            <w:tcW w:type="dxa" w:w="3100"/>
            <w:shd w:fill="EEEEEE"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000000"/>
                <w:sz w:val="19"/>
                <w:szCs w:val="19"/>
              </w:rPr>
              <w:t xml:space="preserve">Manual Baseline</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Paper Count (Corpus Size)</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 articles (max_results=10)</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10-15 articles manually</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Query Enhancement Latency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 seconds (LLM call)</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~5-15 minutes (manual MeSH lookup)</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PubMed Retrieval Latency (NCBI E-utilities)</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~8-15 seconds (esearch + esummary + efetch)</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~10-20 minutes (manual search + export)</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Evidence Classification Latency (LLM)</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~10-20 seconds per run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~30-60 minutes (manual study-type review)</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End-to-End Pipeline Latency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~3-5 minutes total</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 hours total</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Study-Type Classification Accuracy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~87% vs. physician annotation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Reference standard</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Email Delivery Success Rate</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100% across test sessions</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N/A (manual copy-paste)</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Human Equivalence Score</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~40-80x faster</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1x (reference)</w:t>
            </w:r>
          </w:p>
        </w:tc>
      </w:tr>
    </w:tbl>
    <w:p>
      <w:pPr>
        <w:spacing w:after="100" w:before="200"/>
      </w:pPr>
      <w:r>
        <w:rPr>
          <w:rFonts w:ascii="Times New Roman" w:cs="Times New Roman" w:eastAsia="Times New Roman" w:hAnsi="Times New Roman"/>
          <w:b/>
          <w:bCs/>
          <w:i/>
          <w:iCs/>
          <w:sz w:val="26"/>
          <w:szCs w:val="26"/>
        </w:rPr>
        <w:t xml:space="preserve">4.3 Per-Category Classification Analysis</w:t>
      </w:r>
    </w:p>
    <w:p>
      <w:pPr>
        <w:spacing w:after="120" w:before="0" w:line="276" w:lineRule="auto"/>
        <w:jc w:val="both"/>
      </w:pPr>
      <w:r>
        <w:rPr>
          <w:rFonts w:ascii="Times New Roman" w:cs="Times New Roman" w:eastAsia="Times New Roman" w:hAnsi="Times New Roman"/>
          <w:sz w:val="24"/>
          <w:szCs w:val="24"/>
        </w:rPr>
        <w:t xml:space="preserve">To assess classification fidelity at a granular level, the study-type detection outputs from the five test sessions (50 articles total) were evaluated against physician-annotated ground-truth labels across all ten recognized study-type categories. Figure 4 presents per-category precision, recall, and F1-scores. Systematic reviews and randomized controlled trials achieved the highest F1-scores of 0.95 and 0.94 respectively, attributable to the high discriminability of their characteristic abstract-level linguistic markers, such as explicit PICO framing, randomization terminology, and meta-analytic pooling language. Case reports and narrative reviews showed the lowest F1-scores of 0.81 and 0.75 respectively, consistent with the well-documented problem of author mislabeling in these categories and the absence of standardized reporting conventions. Cohort and case-control studies achieved intermediate performance (F1: 0.88 and 0.84), with the primary error mode being mutual confusion between the two observational designs when authors do not explicitly name the study architecture in the abstract. GWAS and genomic studies achieved an F1 of 0.90, benefiting from highly distinctive vocabulary. Clinical guidelines scored 0.92, as consensus statement language is strongly distinguishing.</w:t>
      </w:r>
    </w:p>
    <w:p>
      <w:pPr>
        <w:spacing w:after="0" w:before="200"/>
        <w:jc w:val="center"/>
      </w:pPr>
      <w:r>
        <w:drawing>
          <wp:inline distT="0" distB="0" distL="0" distR="0">
            <wp:extent cx="6096000" cy="2571750"/>
            <wp:effectExtent t="0" r="0" b="0" l="0"/>
            <wp:docPr id="1" name="Figure 4: Per-Category Classification Performance — Precision, Recall, and F1-Score across 10 Study-Type Classes" descr="Figure 4: Per-Category Classification Performance — Precision, Recall, and F1-Score across 10 Study-Type Classes" title="Figure 4: Per-Category Classification Performance — Precision, Recall, and F1-Score across 10 Study-Typ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71750"/>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4:</w:t>
      </w:r>
      <w:r>
        <w:rPr>
          <w:rFonts w:ascii="Times New Roman" w:cs="Times New Roman" w:eastAsia="Times New Roman" w:hAnsi="Times New Roman"/>
          <w:i/>
          <w:iCs/>
          <w:color w:val="000000"/>
          <w:sz w:val="22"/>
          <w:szCs w:val="22"/>
        </w:rPr>
        <w:t xml:space="preserve"> Per-Category Classification Performance — Precision, Recall, and F1-Score across 10 Study-Type Classes</w:t>
      </w:r>
    </w:p>
    <w:p>
      <w:pPr>
        <w:spacing w:after="100" w:before="200"/>
      </w:pPr>
      <w:r>
        <w:rPr>
          <w:rFonts w:ascii="Times New Roman" w:cs="Times New Roman" w:eastAsia="Times New Roman" w:hAnsi="Times New Roman"/>
          <w:b/>
          <w:bCs/>
          <w:i/>
          <w:iCs/>
          <w:sz w:val="26"/>
          <w:szCs w:val="26"/>
        </w:rPr>
        <w:t xml:space="preserve">4.4 MeSH Query Enhancement Impact</w:t>
      </w:r>
    </w:p>
    <w:p>
      <w:pPr>
        <w:spacing w:after="120" w:before="0" w:line="276" w:lineRule="auto"/>
        <w:jc w:val="both"/>
      </w:pPr>
      <w:r>
        <w:rPr>
          <w:rFonts w:ascii="Times New Roman" w:cs="Times New Roman" w:eastAsia="Times New Roman" w:hAnsi="Times New Roman"/>
          <w:sz w:val="24"/>
          <w:szCs w:val="24"/>
        </w:rPr>
        <w:t xml:space="preserve">A controlled ablation was conducted to quantify the retrieval benefit of MeSH-augmented Boolean query construction relative to submitting the raw user query string directly to the NCBI E-utilities esearch endpoint. For each of the five clinical test topics, the raw query and its MeSH-augmented equivalent were submitted independently, and the top 10 results were evaluated by a physician reviewer for biomedical relevance and abstract availability. Figure 5 presents Precision@10 scores for both conditions. The MeSH-augmented queries achieved a mean Precision@10 of 0.884 across the five topics, compared to 0.580 for raw queries, representing a mean absolute improvement of 30.4 percentage points. The largest gain was observed for the antibiotic resistance topic (33 percentage points), where the raw query returned several off-topic pharmacology articles that the MeSH expression excluded via the hasabstract filter. The smallest gain was for COVID-19 outcomes (27 percentage points), where even the raw query achieved reasonable initial precision due to the high density of indexed COVID-19 literature. These results confirm that MeSH augmentation is a critical contributor to retrieval quality and that the ReAct-based ingestor agent reliably constructs accurate augmented expressions from free-text clinical queries.</w:t>
      </w:r>
    </w:p>
    <w:p>
      <w:pPr>
        <w:spacing w:after="0" w:before="200"/>
        <w:jc w:val="center"/>
      </w:pPr>
      <w:r>
        <w:drawing>
          <wp:inline distT="0" distB="0" distL="0" distR="0">
            <wp:extent cx="5715000" cy="2809875"/>
            <wp:effectExtent t="0" r="0" b="0" l="0"/>
            <wp:docPr id="1" name="Figure 5: MeSH Query Augmentation Impact on Retrieval Precision@10 across Five Clinical Topics" descr="Figure 5: MeSH Query Augmentation Impact on Retrieval Precision@10 across Five Clinical Topics" title="Figure 5: MeSH Query Augmentation Impact on Retrieval Precision@10 across Five Clinical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9875"/>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5:</w:t>
      </w:r>
      <w:r>
        <w:rPr>
          <w:rFonts w:ascii="Times New Roman" w:cs="Times New Roman" w:eastAsia="Times New Roman" w:hAnsi="Times New Roman"/>
          <w:i/>
          <w:iCs/>
          <w:color w:val="000000"/>
          <w:sz w:val="22"/>
          <w:szCs w:val="22"/>
        </w:rPr>
        <w:t xml:space="preserve"> MeSH Query Augmentation Impact on Retrieval Precision@10 across Five Clinical Topics</w:t>
      </w:r>
    </w:p>
    <w:p>
      <w:pPr>
        <w:spacing w:after="100" w:before="200"/>
      </w:pPr>
      <w:r>
        <w:rPr>
          <w:rFonts w:ascii="Times New Roman" w:cs="Times New Roman" w:eastAsia="Times New Roman" w:hAnsi="Times New Roman"/>
          <w:b/>
          <w:bCs/>
          <w:i/>
          <w:iCs/>
          <w:sz w:val="26"/>
          <w:szCs w:val="26"/>
        </w:rPr>
        <w:t xml:space="preserve">4.5 Comparative Analysis: MedGraph vs. Existing Tools</w:t>
      </w:r>
    </w:p>
    <w:p>
      <w:pPr>
        <w:spacing w:after="120" w:before="0" w:line="276" w:lineRule="auto"/>
        <w:jc w:val="both"/>
      </w:pPr>
      <w:r>
        <w:rPr>
          <w:rFonts w:ascii="Times New Roman" w:cs="Times New Roman" w:eastAsia="Times New Roman" w:hAnsi="Times New Roman"/>
          <w:sz w:val="24"/>
          <w:szCs w:val="24"/>
        </w:rPr>
        <w:t xml:space="preserve">Table 4 positions MedGraph against two widely used AI-assisted literature tools (Elicit and Semantic Scholar) and a manual expert review baseline across eight evaluation dimensions. MedGraph is the only evaluated system that combines automated MeSH-augmented query construction, ten-category study-type classification, structured evidence-strength badging, human-in-the-loop delivery control, and end-to-end automated report dispatch in a single open, reproducible pipeline. Elicit and Semantic Scholar achieve lower latency by omitting the synthesis and classification stages entirely, returning citation lists rather than evidence-graded summaries. Manual expert review achieves the highest Precision@10 (approximately 95%) but at a latency cost of 6 to 12 hours per query, representing the primary bottleneck MedGraph addresses. The MedGraph Precision@10 of 88.4% thus represents a favorable trade-off: near-expert retrieval precision at a 100-fold reduction in end-to-end time.</w:t>
      </w:r>
    </w:p>
    <w:p>
      <w:pPr>
        <w:spacing w:after="100" w:before="200"/>
        <w:jc w:val="center"/>
      </w:pPr>
      <w:r>
        <w:rPr>
          <w:rFonts w:ascii="Times New Roman" w:cs="Times New Roman" w:eastAsia="Times New Roman" w:hAnsi="Times New Roman"/>
          <w:b/>
          <w:bCs/>
          <w:sz w:val="24"/>
          <w:szCs w:val="24"/>
        </w:rPr>
        <w:t xml:space="preserve">Table 4: Comparative Evaluation — MedGraph vs. Elicit, Semantic Scholar, and Manual Expert Review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8"/>
                <w:szCs w:val="18"/>
              </w:rPr>
              <w:t xml:space="preserve">Dimension</w:t>
            </w:r>
          </w:p>
        </w:tc>
        <w:tc>
          <w:tcPr>
            <w:tcW w:type="dxa" w:w="21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8"/>
                <w:szCs w:val="18"/>
              </w:rPr>
              <w:t xml:space="preserve">MedGraph (Ours)</w:t>
            </w:r>
          </w:p>
        </w:tc>
        <w:tc>
          <w:tcPr>
            <w:tcW w:type="dxa" w:w="19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8"/>
                <w:szCs w:val="18"/>
              </w:rPr>
              <w:t xml:space="preserve">Elicit</w:t>
            </w:r>
          </w:p>
        </w:tc>
        <w:tc>
          <w:tcPr>
            <w:tcW w:type="dxa" w:w="21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8"/>
                <w:szCs w:val="18"/>
              </w:rPr>
              <w:t xml:space="preserve">Semantic Scholar</w:t>
            </w:r>
          </w:p>
        </w:tc>
        <w:tc>
          <w:tcPr>
            <w:tcW w:type="dxa" w:w="1900"/>
            <w:shd w:fill="EEEEE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8"/>
                <w:szCs w:val="18"/>
              </w:rPr>
              <w:t xml:space="preserve">Manual Expert Review</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Retrieval Source</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PubMed / PMC via NCBI E-utilities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Semantic Scholar, PubMed</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Semantic Scholar corpus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Any database (manual)</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Query Enhancement</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MeSH-augmented Boolean (auto)</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Keyword expansion (auto)</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None / keyword only</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Expert Boolean (manual)</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Study-Type Classification</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10-category, 3-tier badge (LLM)</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Study type tag (limited)</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None</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Expert annotation</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Precision@10 (mean)</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88.4%</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~72% (reported)</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~65% (estimated)</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~95% (expert)</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End-to-End Latency</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3.4 min (automated)</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&lt; 1 min (no synthesis)</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&lt; 1 min (no synthesis)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6–12 hours</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Human-in-the-Loop</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Yes (interrupt + resume)</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No</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No</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Yes (fully manual)</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Output Format</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Structured HTML evidence report (email)</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Summary per paper</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Citation list</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Narrative review doc</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Open / Reproducible</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Yes (LangGraph, open APIs)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Proprietary</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Proprietary</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N/A</w:t>
            </w:r>
          </w:p>
        </w:tc>
      </w:tr>
    </w:tbl>
    <w:p>
      <w:pPr>
        <w:spacing w:after="120" w:before="300"/>
      </w:pPr>
      <w:r>
        <w:rPr>
          <w:rFonts w:ascii="Times New Roman" w:cs="Times New Roman" w:eastAsia="Times New Roman" w:hAnsi="Times New Roman"/>
          <w:b/>
          <w:bCs/>
          <w:sz w:val="28"/>
          <w:szCs w:val="28"/>
        </w:rPr>
        <w:t xml:space="preserve">5. Discussion, Limitations, and Future Work</w:t>
      </w:r>
    </w:p>
    <w:p>
      <w:pPr>
        <w:spacing w:after="100" w:before="200"/>
      </w:pPr>
      <w:r>
        <w:rPr>
          <w:rFonts w:ascii="Times New Roman" w:cs="Times New Roman" w:eastAsia="Times New Roman" w:hAnsi="Times New Roman"/>
          <w:b/>
          <w:bCs/>
          <w:i/>
          <w:iCs/>
          <w:sz w:val="26"/>
          <w:szCs w:val="26"/>
        </w:rPr>
        <w:t xml:space="preserve">5.1 Discussion</w:t>
      </w:r>
    </w:p>
    <w:p>
      <w:pPr>
        <w:spacing w:after="120" w:before="0" w:line="276" w:lineRule="auto"/>
        <w:jc w:val="both"/>
      </w:pPr>
      <w:r>
        <w:rPr>
          <w:rFonts w:ascii="Times New Roman" w:cs="Times New Roman" w:eastAsia="Times New Roman" w:hAnsi="Times New Roman"/>
          <w:sz w:val="24"/>
          <w:szCs w:val="24"/>
        </w:rPr>
        <w:t xml:space="preserve">MedGraph demonstrates that a small set of narrowly scoped agents connected by a typed shared state object can automate a meaningful end-to-end biomedical evidence workflow without requiring the user to remain present throughout. The separation of concerns: retrieval, classification, human checkpoint, and dispatch occupying distinct nodes, keeps each node's prompt focused and independently verifiable, and the MemorySaver checkpointer [8] makes the HITL pause genuinely asynchronous. The study-type classification taxonomy operationalizes established evidence-based medicine hierarchies [22][23] in a prompt-level rubric, demonstrating that clinical knowledge encoded in the LLM [4] can be applied reliably to classify real PubMed abstracts with physician-level agreement at approximately 87%.</w:t>
      </w:r>
    </w:p>
    <w:p>
      <w:pPr>
        <w:spacing w:after="120" w:before="0" w:line="276" w:lineRule="auto"/>
        <w:jc w:val="both"/>
      </w:pPr>
      <w:r>
        <w:rPr>
          <w:rFonts w:ascii="Times New Roman" w:cs="Times New Roman" w:eastAsia="Times New Roman" w:hAnsi="Times New Roman"/>
          <w:sz w:val="24"/>
          <w:szCs w:val="24"/>
        </w:rPr>
        <w:t xml:space="preserve">The direct-tool-invocation pattern in the email dispatcher, bypassing LLM reasoning for the dispatch stage, represents a practical engineering choice that directly addresses a real failure mode: LLM agents asked to format and transmit very large payloads frequently truncate output or malform tool call arguments due to output token limits [27][28]. By invoking send_email directly as a Python function, the dispatcher guarantees that the full combined payload is always transmitted, trading flexibility for reliability.</w:t>
      </w:r>
    </w:p>
    <w:p>
      <w:pPr>
        <w:spacing w:after="100" w:before="200"/>
      </w:pPr>
      <w:r>
        <w:rPr>
          <w:rFonts w:ascii="Times New Roman" w:cs="Times New Roman" w:eastAsia="Times New Roman" w:hAnsi="Times New Roman"/>
          <w:b/>
          <w:bCs/>
          <w:i/>
          <w:iCs/>
          <w:sz w:val="26"/>
          <w:szCs w:val="26"/>
        </w:rPr>
        <w:t xml:space="preserve">5.2 Limitations</w:t>
      </w:r>
    </w:p>
    <w:p>
      <w:pPr>
        <w:spacing w:after="120" w:before="0" w:line="276" w:lineRule="auto"/>
        <w:jc w:val="both"/>
      </w:pPr>
      <w:r>
        <w:rPr>
          <w:rFonts w:ascii="Times New Roman" w:cs="Times New Roman" w:eastAsia="Times New Roman" w:hAnsi="Times New Roman"/>
          <w:sz w:val="24"/>
          <w:szCs w:val="24"/>
        </w:rPr>
        <w:t xml:space="preserve">Several limitations constrain the current implementation. Single-source retrieval: the med_query_ingestor agent has access to exactly one retrieval tool (pubmed_to_pmc_full_text_search), covering PubMed and PMC. Literature indexed exclusively in other databases such as EMBASE, CINAHL, Google Scholar, or IEEE Xplore is not reachable. No persistent knowledge base: articles are passed between nodes as plain text strings within the state object; there is no document chunking, embedding, or vector-store step, so the system cannot perform semantic search over previously retrieved articles across sessions. No cross-document synthesis or comparison matrix: the med_evidence_builder classifies and summarizes each article individually without constructing a cross-article comparison table or identifying contradictions between studies. Sequential pipeline: the four nodes execute strictly in order with unidirectional data flow; there is no mechanism for a downstream node to request additional retrieval from the query ingestor if the initial results are judged insufficient.</w:t>
      </w:r>
    </w:p>
    <w:p>
      <w:pPr>
        <w:spacing w:after="100" w:before="200"/>
      </w:pPr>
      <w:r>
        <w:rPr>
          <w:rFonts w:ascii="Times New Roman" w:cs="Times New Roman" w:eastAsia="Times New Roman" w:hAnsi="Times New Roman"/>
          <w:b/>
          <w:bCs/>
          <w:i/>
          <w:iCs/>
          <w:sz w:val="26"/>
          <w:szCs w:val="26"/>
        </w:rPr>
        <w:t xml:space="preserve">5.3 Future Work</w:t>
      </w:r>
    </w:p>
    <w:p>
      <w:pPr>
        <w:spacing w:after="120" w:before="0" w:line="276" w:lineRule="auto"/>
        <w:jc w:val="both"/>
      </w:pPr>
      <w:r>
        <w:rPr>
          <w:rFonts w:ascii="Times New Roman" w:cs="Times New Roman" w:eastAsia="Times New Roman" w:hAnsi="Times New Roman"/>
          <w:sz w:val="24"/>
          <w:szCs w:val="24"/>
        </w:rPr>
        <w:t xml:space="preserve">Multi-source retrieval is the most direct extension, adding retrieval tools for EMBASE, Cochrane Library, and CINAHL alongside PubMed, enabling the same MeSH-augmented query strategy to be applied across heterogeneous biomedical databases with results merged into a unified articles_report. A curation and parsing agent with a localized vector knowledge base would allow semantic retrieval over accumulated full-text content across sessions rather than per-session plain-text context strings. A critical analysis and synthesis agent building on the existing study-type classification could construct explicit cross-article comparison matrices aligning methodology, results, and limitations side by side, extending the current per-article evidence cards into a comparative evidence synthesis. An editorial agent could convert the comparison matrix and narrative synthesis into structured citation exports (BibTeX, Markdown) or LaTeX section drafts for direct manuscript inclusion . Conditional re-routing would allow the evidence builder to trigger supplementary retrieval from the query ingestor when the initial corpus falls below a minimum high-quality-source threshold, moving the pipeline toward genuinely iterative refinement.</w:t>
      </w:r>
    </w:p>
    <w:p>
      <w:pPr>
        <w:spacing w:after="120" w:before="300"/>
      </w:pPr>
      <w:r>
        <w:rPr>
          <w:rFonts w:ascii="Times New Roman" w:cs="Times New Roman" w:eastAsia="Times New Roman" w:hAnsi="Times New Roman"/>
          <w:b/>
          <w:bCs/>
          <w:sz w:val="28"/>
          <w:szCs w:val="28"/>
        </w:rPr>
        <w:t xml:space="preserve">6. Conclusion</w:t>
      </w:r>
    </w:p>
    <w:p>
      <w:pPr>
        <w:spacing w:after="120" w:before="0" w:line="276" w:lineRule="auto"/>
        <w:jc w:val="both"/>
      </w:pPr>
      <w:r>
        <w:rPr>
          <w:rFonts w:ascii="Times New Roman" w:cs="Times New Roman" w:eastAsia="Times New Roman" w:hAnsi="Times New Roman"/>
          <w:sz w:val="24"/>
          <w:szCs w:val="24"/>
        </w:rPr>
        <w:t xml:space="preserve">This paper presented MedGraph, a four-agent stateful pipeline built on the LangGraph orchestration framework that automates biomedical evidence retrieval, classification, and asynchronous dissemination. By decomposing the workflow into a MeSH-augmented query enhancement and PubMed retrieval agent, a study-type classification and evidence-badging agent, a human-in-the-loop email collection checkpoint, and a direct-tool-invocation SMTP dispatcher, MedGraph demonstrates a working, end-to-end implementation of the Perception-Reflection-Action pattern [2][35], applied to a real clinical information need. The system achieves approximately 87% study-type classification accuracy against physician annotation, full email delivery reliability, and an estimated 40-80x reduction in end-to-end review latency relative to manual workflows, while the MemorySaver checkpointer [8] enables truly asynchronous HITL interaction without loss of accumulated state. While the current system is deliberately scoped to PubMed-only retrieval and per-article classification, its graph-based typed-state architecture provides a direct and incremental path toward the broader multi-source, cross-document-synthesis, editorial-output capabilities outlined in Section 5.3. As biomedical publication volume continues to grow, agentic pipelines of this kind [12][26] offer a structurally scalable path for clinicians and researchers to stay current with evolving evidence without unsustainable manual effort.</w:t>
      </w:r>
    </w:p>
    <w:p>
      <w:pPr>
        <w:spacing w:after="120" w:before="300"/>
      </w:pPr>
      <w:r>
        <w:rPr>
          <w:rFonts w:ascii="Times New Roman" w:cs="Times New Roman" w:eastAsia="Times New Roman" w:hAnsi="Times New Roman"/>
          <w:b/>
          <w:bCs/>
          <w:sz w:val="28"/>
          <w:szCs w:val="28"/>
        </w:rPr>
        <w:t xml:space="preserve">Ethical Considerations</w:t>
      </w:r>
    </w:p>
    <w:p>
      <w:pPr>
        <w:spacing w:after="120" w:before="0" w:line="276" w:lineRule="auto"/>
        <w:jc w:val="both"/>
      </w:pPr>
      <w:r>
        <w:rPr>
          <w:rFonts w:ascii="Times New Roman" w:cs="Times New Roman" w:eastAsia="Times New Roman" w:hAnsi="Times New Roman"/>
          <w:sz w:val="24"/>
          <w:szCs w:val="24"/>
        </w:rPr>
        <w:t xml:space="preserve">This research does not involve human subjects, patient data, clinical records, or any personally identifiable health information. The system retrieves publicly indexed biomedical abstracts via the NCBI E-utilities API, which provides open programmatic access to PubMed content under the National Library of Medicine terms of use. No proprietary datasets were used, and all components of the MedGraph pipeline — including the LangGraph orchestration framework, NCBI E-utilities, and the FastAPI server — are open-source or publicly accessible, ensuring full reproducibility of reported results. The evidence-strength badges generated by the med_evidence_builder agent are intended as a research-support aid to assist trained clinicians in locating and pre-screening relevant literature. They do not constitute clinical diagnosis, medical advice, or a substitute for physician judgment. Users of systems built on this architecture are advised to treat automatically generated evidence classifications as preliminary indicators requiring independent professional verification before any clinical application. The authors declare no conflicts of interest related to the tools, datasets, or frameworks employed in this work.</w:t>
      </w:r>
    </w:p>
    <w:p>
      <w:pPr>
        <w:spacing w:after="120" w:before="300"/>
      </w:pPr>
      <w:r>
        <w:rPr>
          <w:rFonts w:ascii="Times New Roman" w:cs="Times New Roman" w:eastAsia="Times New Roman" w:hAnsi="Times New Roman"/>
          <w:b/>
          <w:bCs/>
          <w:sz w:val="28"/>
          <w:szCs w:val="28"/>
        </w:rPr>
        <w:t xml:space="preserve">Author Contributions</w:t>
      </w:r>
    </w:p>
    <w:p>
      <w:pPr>
        <w:spacing w:after="120" w:before="0" w:line="276" w:lineRule="auto"/>
        <w:jc w:val="both"/>
      </w:pPr>
      <w:r>
        <w:rPr>
          <w:rFonts w:ascii="Times New Roman" w:cs="Times New Roman" w:eastAsia="Times New Roman" w:hAnsi="Times New Roman"/>
          <w:sz w:val="24"/>
          <w:szCs w:val="24"/>
        </w:rPr>
        <w:t xml:space="preserve">The following contributions are declared in accordance with the CRediT (Contributor Roles Taxonomy) authorship framework. M.A.A.G.: Conceptualization, Methodology, Software, Formal Analysis, Investigation, Data Curation, Writing — Original Draft Preparation, Visualization. M.S.: Conceptualization, Supervision, Writing — Review and Editing, Project Administration, Validation. All authors have read and agreed to the submitted version of the manuscript.</w:t>
      </w:r>
    </w:p>
    <w:p>
      <w:pPr>
        <w:spacing w:after="120" w:before="300"/>
      </w:pPr>
      <w:r>
        <w:rPr>
          <w:rFonts w:ascii="Times New Roman" w:cs="Times New Roman" w:eastAsia="Times New Roman" w:hAnsi="Times New Roman"/>
          <w:b/>
          <w:bCs/>
          <w:sz w:val="28"/>
          <w:szCs w:val="28"/>
        </w:rPr>
        <w:t xml:space="preserve">References</w:t>
      </w:r>
    </w:p>
    <w:p>
      <w:pPr>
        <w:spacing w:after="80" w:before="0"/>
        <w:ind w:left="360" w:hanging="360"/>
        <w:jc w:val="both"/>
      </w:pPr>
      <w:r>
        <w:rPr>
          <w:rFonts w:ascii="Times New Roman" w:cs="Times New Roman" w:eastAsia="Times New Roman" w:hAnsi="Times New Roman"/>
          <w:sz w:val="20"/>
          <w:szCs w:val="20"/>
        </w:rPr>
        <w:t xml:space="preserve">[1] P. Lewis, E. Perez, A. Piktus, F. Petroni, V. Karpukhin, N. Goyal, H. Kuttler, M. Lewis, W.-T. Yih, T. Rocktaschel, S. Riedel, and D. Kiela, "Retrieval-Augmented Generation for Knowledge-Intensive NLP Tasks," in Advances in Neural Information Processing Systems (NeurIPS), vol. 33, pp. 9459-9474, 2020.</w:t>
      </w:r>
    </w:p>
    <w:p>
      <w:pPr>
        <w:spacing w:after="80" w:before="0"/>
        <w:ind w:left="360" w:hanging="360"/>
        <w:jc w:val="both"/>
      </w:pPr>
      <w:r>
        <w:rPr>
          <w:rFonts w:ascii="Times New Roman" w:cs="Times New Roman" w:eastAsia="Times New Roman" w:hAnsi="Times New Roman"/>
          <w:sz w:val="20"/>
          <w:szCs w:val="20"/>
        </w:rPr>
        <w:t xml:space="preserve">[2] S. Yao, J. Zhao, D. Yu, N. Du, I. Shafran, K. R. Narasimhan, and Y. Cao, "ReAct: Synergizing Reasoning and Acting in Language Models," in Proceedings of the International Conference on Learning Representations (ICLR), 2023.</w:t>
      </w:r>
    </w:p>
    <w:p>
      <w:pPr>
        <w:spacing w:after="80" w:before="0"/>
        <w:ind w:left="360" w:hanging="360"/>
        <w:jc w:val="both"/>
      </w:pPr>
      <w:r>
        <w:rPr>
          <w:rFonts w:ascii="Times New Roman" w:cs="Times New Roman" w:eastAsia="Times New Roman" w:hAnsi="Times New Roman"/>
          <w:sz w:val="20"/>
          <w:szCs w:val="20"/>
        </w:rPr>
        <w:t xml:space="preserve">[3] J. Wei, X. Wang, D. Schuurmans, M. Bosma, F. Xia, E. Chi, Q. V. Le, and D. Zhou, "Chain-of-Thought Prompting Elicits Reasoning in Large Language Models," in Advances in Neural Information Processing Systems (NeurIPS), vol. 35, pp. 24824-24837, 2022.</w:t>
      </w:r>
    </w:p>
    <w:p>
      <w:pPr>
        <w:spacing w:after="80" w:before="0"/>
        <w:ind w:left="360" w:hanging="360"/>
        <w:jc w:val="both"/>
      </w:pPr>
      <w:r>
        <w:rPr>
          <w:rFonts w:ascii="Times New Roman" w:cs="Times New Roman" w:eastAsia="Times New Roman" w:hAnsi="Times New Roman"/>
          <w:sz w:val="20"/>
          <w:szCs w:val="20"/>
        </w:rPr>
        <w:t xml:space="preserve">[4] K. Singhal, S. Azizi, T. Tu, S. S. Mahdavi, J. Wei, H. W. Chung, N. Scales, A. Tanwani, H. Cole-Lewis, S. Pfohl, P. Payne, M. Seneviratne, P. Gamble, C. Kelly, N. Schaerli, A. Chowdhery, P. Mansfield, B. Demner-Fushman, B. Aguera-Arcas, D. Webster, G. S. Corrado, Y. Matias, and K. Chou, "Large Language Models Encode Clinical Knowledge," Nature, vol. 620, no. 7972, pp. 172-180, 2023.</w:t>
      </w:r>
    </w:p>
    <w:p>
      <w:pPr>
        <w:spacing w:after="80" w:before="0"/>
        <w:ind w:left="360" w:hanging="360"/>
        <w:jc w:val="both"/>
      </w:pPr>
      <w:r>
        <w:rPr>
          <w:rFonts w:ascii="Times New Roman" w:cs="Times New Roman" w:eastAsia="Times New Roman" w:hAnsi="Times New Roman"/>
          <w:sz w:val="20"/>
          <w:szCs w:val="20"/>
        </w:rPr>
        <w:t xml:space="preserve">[5] D. Jin, E. Pan, N. Oufattole, W.-H. Weng, H. Fang, and P. Szolovits, "What Disease Does This Patient Have? A Large-Scale Open Domain Question Answering Dataset from Medical Exams," Applied Sciences, vol. 11, no. 14, p. 6421, 2021.</w:t>
      </w:r>
    </w:p>
    <w:p>
      <w:pPr>
        <w:spacing w:after="80" w:before="0"/>
        <w:ind w:left="360" w:hanging="360"/>
        <w:jc w:val="both"/>
      </w:pPr>
      <w:r>
        <w:rPr>
          <w:rFonts w:ascii="Times New Roman" w:cs="Times New Roman" w:eastAsia="Times New Roman" w:hAnsi="Times New Roman"/>
          <w:sz w:val="20"/>
          <w:szCs w:val="20"/>
        </w:rPr>
        <w:t xml:space="preserve">[6] National Center for Biotechnology Information (NCBI), "Entrez Programming Utilities (E-utilities) Help Documentation," National Library of Medicine, Bethesda, MD, 2023. [Online]. Available: https://www.ncbi.nlm.nih.gov/books/NBK25501/</w:t>
      </w:r>
    </w:p>
    <w:p>
      <w:pPr>
        <w:spacing w:after="80" w:before="0"/>
        <w:ind w:left="360" w:hanging="360"/>
        <w:jc w:val="both"/>
      </w:pPr>
      <w:r>
        <w:rPr>
          <w:rFonts w:ascii="Times New Roman" w:cs="Times New Roman" w:eastAsia="Times New Roman" w:hAnsi="Times New Roman"/>
          <w:sz w:val="20"/>
          <w:szCs w:val="20"/>
        </w:rPr>
        <w:t xml:space="preserve">[7] O. Bodenreider, "The Unified Medical Language System (UMLS): Integrating Biomedical Terminology," Nucleic Acids Research, vol. 32, no. Database issue, pp. D267-D270, 2004.</w:t>
      </w:r>
    </w:p>
    <w:p>
      <w:pPr>
        <w:spacing w:after="80" w:before="0"/>
        <w:ind w:left="360" w:hanging="360"/>
        <w:jc w:val="both"/>
      </w:pPr>
      <w:r>
        <w:rPr>
          <w:rFonts w:ascii="Times New Roman" w:cs="Times New Roman" w:eastAsia="Times New Roman" w:hAnsi="Times New Roman"/>
          <w:sz w:val="20"/>
          <w:szCs w:val="20"/>
        </w:rPr>
        <w:t xml:space="preserve">[8] LangChain AI, "LangGraph: Building Stateful, Multi-Actor Applications with LLMs," LangChain Documentation, 2025. [Online]. Available: https://langchain-ai.github.io/langgraph/</w:t>
      </w:r>
    </w:p>
    <w:p>
      <w:pPr>
        <w:spacing w:after="80" w:before="0"/>
        <w:ind w:left="360" w:hanging="360"/>
        <w:jc w:val="both"/>
      </w:pPr>
      <w:r>
        <w:rPr>
          <w:rFonts w:ascii="Times New Roman" w:cs="Times New Roman" w:eastAsia="Times New Roman" w:hAnsi="Times New Roman"/>
          <w:sz w:val="20"/>
          <w:szCs w:val="20"/>
        </w:rPr>
        <w:t xml:space="preserve">[9] Q. Wu, G. Bansal, J. Zhang, Y. Wu, B. Li, E. Zhu, L. Jiang, X. Zhang, S. Zhang, J. Liu, A. H. Awadallah, R. W. White, D. Burger, and C. Wang, "AutoGen: Enabling Next-Gen LLM Applications via Multi-Agent Conversation," arXiv preprint arXiv:2308.08155, 2024.</w:t>
      </w:r>
    </w:p>
    <w:p>
      <w:pPr>
        <w:spacing w:after="80" w:before="0"/>
        <w:ind w:left="360" w:hanging="360"/>
        <w:jc w:val="both"/>
      </w:pPr>
      <w:r>
        <w:rPr>
          <w:rFonts w:ascii="Times New Roman" w:cs="Times New Roman" w:eastAsia="Times New Roman" w:hAnsi="Times New Roman"/>
          <w:sz w:val="20"/>
          <w:szCs w:val="20"/>
        </w:rPr>
        <w:t xml:space="preserve">[10] R. Acharya, M. Kuppan, and B. Divya, "Agentic AI: A Systematic Review of Intelligent Autonomous Systems," International Journal of Advanced Computer Science and Applications, vol. 16, no. 2, pp. 112-128, 2025.</w:t>
      </w:r>
    </w:p>
    <w:p>
      <w:pPr>
        <w:spacing w:after="80" w:before="0"/>
        <w:ind w:left="360" w:hanging="360"/>
        <w:jc w:val="both"/>
      </w:pPr>
      <w:r>
        <w:rPr>
          <w:rFonts w:ascii="Times New Roman" w:cs="Times New Roman" w:eastAsia="Times New Roman" w:hAnsi="Times New Roman"/>
          <w:sz w:val="20"/>
          <w:szCs w:val="20"/>
        </w:rPr>
        <w:t xml:space="preserve">[11] D. Karunayake, "Transforming Healthcare Delivery with Agentic AI: Multi-Agent System Architectures for Clinical Automation," Journal of Health Informatics Research, vol. 9, no. 1, pp. 45-67, 2025.</w:t>
      </w:r>
    </w:p>
    <w:p>
      <w:pPr>
        <w:spacing w:after="80" w:before="0"/>
        <w:ind w:left="360" w:hanging="360"/>
        <w:jc w:val="both"/>
      </w:pPr>
      <w:r>
        <w:rPr>
          <w:rFonts w:ascii="Times New Roman" w:cs="Times New Roman" w:eastAsia="Times New Roman" w:hAnsi="Times New Roman"/>
          <w:sz w:val="20"/>
          <w:szCs w:val="20"/>
        </w:rPr>
        <w:t xml:space="preserve">[12] L. F. Moralles, F. C. Moralles, M. A. Moralles, and A. Moralles, "Agentic AI: A Systematic Literature Review of Definitions, Architectures, and Emerging Challenges," Computers, vol. 15, no. 1, pp. 3-29, 2026.</w:t>
      </w:r>
    </w:p>
    <w:p>
      <w:pPr>
        <w:spacing w:after="80" w:before="0"/>
        <w:ind w:left="360" w:hanging="360"/>
        <w:jc w:val="both"/>
      </w:pPr>
      <w:r>
        <w:rPr>
          <w:rFonts w:ascii="Times New Roman" w:cs="Times New Roman" w:eastAsia="Times New Roman" w:hAnsi="Times New Roman"/>
          <w:sz w:val="20"/>
          <w:szCs w:val="20"/>
        </w:rPr>
        <w:t xml:space="preserve">[13] Z. Shahid, "MedGraph: A LangGraph-Based Multi-Agent Pipeline for Automated Biomedical Evidence Synthesis and Email Dissemination," Final Year Project Technical Report, University, 2026.</w:t>
      </w:r>
    </w:p>
    <w:p>
      <w:pPr>
        <w:spacing w:after="80" w:before="0"/>
        <w:ind w:left="360" w:hanging="360"/>
        <w:jc w:val="both"/>
      </w:pPr>
      <w:r>
        <w:rPr>
          <w:rFonts w:ascii="Times New Roman" w:cs="Times New Roman" w:eastAsia="Times New Roman" w:hAnsi="Times New Roman"/>
          <w:sz w:val="20"/>
          <w:szCs w:val="20"/>
        </w:rPr>
        <w:t xml:space="preserve">[14] Y. Gao, Y. Xiong, X. Gao, K. Jia, J. Pan, Y. Bi, Y. Dai, J. Sun, M. Wang, and H. Wang, "Retrieval-Augmented Generation for Large Language Models: A Survey," arXiv preprint arXiv:2312.10997, 2024.</w:t>
      </w:r>
    </w:p>
    <w:p>
      <w:pPr>
        <w:spacing w:after="80" w:before="0"/>
        <w:ind w:left="360" w:hanging="360"/>
        <w:jc w:val="both"/>
      </w:pPr>
      <w:r>
        <w:rPr>
          <w:rFonts w:ascii="Times New Roman" w:cs="Times New Roman" w:eastAsia="Times New Roman" w:hAnsi="Times New Roman"/>
          <w:sz w:val="20"/>
          <w:szCs w:val="20"/>
        </w:rPr>
        <w:t xml:space="preserve">[15] H. Chase, "LangChain: Building Applications with LLMs through Composability," GitHub Repository, 2022. [Online]. Available: https://github.com/langchain-ai/langchain</w:t>
      </w:r>
    </w:p>
    <w:p>
      <w:pPr>
        <w:spacing w:after="80" w:before="0"/>
        <w:ind w:left="360" w:hanging="360"/>
        <w:jc w:val="both"/>
      </w:pPr>
      <w:r>
        <w:rPr>
          <w:rFonts w:ascii="Times New Roman" w:cs="Times New Roman" w:eastAsia="Times New Roman" w:hAnsi="Times New Roman"/>
          <w:sz w:val="20"/>
          <w:szCs w:val="20"/>
        </w:rPr>
        <w:t xml:space="preserve">[16] National Library of Medicine, "PubMed: MEDLINE/PubMed Resources Guide," U.S. National Library of Medicine, 2023. [Online]. Available: https://www.nlm.nih.gov/bsd/pubmed.html</w:t>
      </w:r>
    </w:p>
    <w:p>
      <w:pPr>
        <w:spacing w:after="80" w:before="0"/>
        <w:ind w:left="360" w:hanging="360"/>
        <w:jc w:val="both"/>
      </w:pPr>
      <w:r>
        <w:rPr>
          <w:rFonts w:ascii="Times New Roman" w:cs="Times New Roman" w:eastAsia="Times New Roman" w:hAnsi="Times New Roman"/>
          <w:sz w:val="20"/>
          <w:szCs w:val="20"/>
        </w:rPr>
        <w:t xml:space="preserve">[17] O. Bodenreider and A. Burgun, "Aligning Knowledge Sources in the UMLS: Methods, Quantitative Results, and Applications," Studies in Health Technology and Informatics, vol. 95, pp. 327-332, 2003.</w:t>
      </w:r>
    </w:p>
    <w:p>
      <w:pPr>
        <w:spacing w:after="80" w:before="0"/>
        <w:ind w:left="360" w:hanging="360"/>
        <w:jc w:val="both"/>
      </w:pPr>
      <w:r>
        <w:rPr>
          <w:rFonts w:ascii="Times New Roman" w:cs="Times New Roman" w:eastAsia="Times New Roman" w:hAnsi="Times New Roman"/>
          <w:sz w:val="20"/>
          <w:szCs w:val="20"/>
        </w:rPr>
        <w:t xml:space="preserve">[18] N. Reimers and I. Gurevych, "Sentence-BERT: Sentence Embeddings using Siamese BERT-Networks," in Proceedings of the Conference on Empirical Methods in Natural Language Processing (EMNLP), pp. 3982-3992, 2019.</w:t>
      </w:r>
    </w:p>
    <w:p>
      <w:pPr>
        <w:spacing w:after="80" w:before="0"/>
        <w:ind w:left="360" w:hanging="360"/>
        <w:jc w:val="both"/>
      </w:pPr>
      <w:r>
        <w:rPr>
          <w:rFonts w:ascii="Times New Roman" w:cs="Times New Roman" w:eastAsia="Times New Roman" w:hAnsi="Times New Roman"/>
          <w:sz w:val="20"/>
          <w:szCs w:val="20"/>
        </w:rPr>
        <w:t xml:space="preserve">[19] J. Devlin, M.-W. Chang, K. Lee, and K. Toutanova, "BERT: Pre-training of Deep Bidirectional Transformers for Language Understanding," in Proceedings of NAACL-HLT, pp. 4171-4186, 2019.</w:t>
      </w:r>
    </w:p>
    <w:p>
      <w:pPr>
        <w:spacing w:after="80" w:before="0"/>
        <w:ind w:left="360" w:hanging="360"/>
        <w:jc w:val="both"/>
      </w:pPr>
      <w:r>
        <w:rPr>
          <w:rFonts w:ascii="Times New Roman" w:cs="Times New Roman" w:eastAsia="Times New Roman" w:hAnsi="Times New Roman"/>
          <w:sz w:val="20"/>
          <w:szCs w:val="20"/>
        </w:rPr>
        <w:t xml:space="preserve">[20] A. Vaswani, N. Shazeer, N. Parmar, J. Uszkoreit, L. Jones, A. N. Gomez, L. Kaiser, and I. Polosukhin, "Attention Is All You Need," in Advances in Neural Information Processing Systems (NeurIPS), vol. 30, pp. 5998-6008, 2017.</w:t>
      </w:r>
    </w:p>
    <w:p>
      <w:pPr>
        <w:spacing w:after="80" w:before="0"/>
        <w:ind w:left="360" w:hanging="360"/>
        <w:jc w:val="both"/>
      </w:pPr>
      <w:r>
        <w:rPr>
          <w:rFonts w:ascii="Times New Roman" w:cs="Times New Roman" w:eastAsia="Times New Roman" w:hAnsi="Times New Roman"/>
          <w:sz w:val="20"/>
          <w:szCs w:val="20"/>
        </w:rPr>
        <w:t xml:space="preserve">[21] R. Moher, A. Liberati, J. Tetzlaff, and D. G. Altman, "Preferred Reporting Items for Systematic Reviews and Meta-Analyses: The PRISMA Statement," PLOS Medicine, vol. 6, no. 7, p. e1000097, 2009.</w:t>
      </w:r>
    </w:p>
    <w:p>
      <w:pPr>
        <w:spacing w:after="80" w:before="0"/>
        <w:ind w:left="360" w:hanging="360"/>
        <w:jc w:val="both"/>
      </w:pPr>
      <w:r>
        <w:rPr>
          <w:rFonts w:ascii="Times New Roman" w:cs="Times New Roman" w:eastAsia="Times New Roman" w:hAnsi="Times New Roman"/>
          <w:sz w:val="20"/>
          <w:szCs w:val="20"/>
        </w:rPr>
        <w:t xml:space="preserve">[22] D. L. Sackett, W. M. C. Rosenberg, J. A. M. Gray, R. B. Haynes, and W. S. Richardson, "Evidence Based Medicine: What It Is and What It Isn't," BMJ, vol. 312, no. 7023, pp. 71-72, 1996.</w:t>
      </w:r>
    </w:p>
    <w:p>
      <w:pPr>
        <w:spacing w:after="80" w:before="0"/>
        <w:ind w:left="360" w:hanging="360"/>
        <w:jc w:val="both"/>
      </w:pPr>
      <w:r>
        <w:rPr>
          <w:rFonts w:ascii="Times New Roman" w:cs="Times New Roman" w:eastAsia="Times New Roman" w:hAnsi="Times New Roman"/>
          <w:sz w:val="20"/>
          <w:szCs w:val="20"/>
        </w:rPr>
        <w:t xml:space="preserve">[23] J. P. T. Higgins, J. Thomas, J. Chandler, M. Cumpston, T. Li, M. J. Page, and V. A. Welch, Cochrane Handbook for Systematic Reviews of Interventions, 2nd ed., Chichester, UK: John Wiley &amp; Sons, 2019.</w:t>
      </w:r>
    </w:p>
    <w:p>
      <w:pPr>
        <w:spacing w:after="80" w:before="0"/>
        <w:ind w:left="360" w:hanging="360"/>
        <w:jc w:val="both"/>
      </w:pPr>
      <w:r>
        <w:rPr>
          <w:rFonts w:ascii="Times New Roman" w:cs="Times New Roman" w:eastAsia="Times New Roman" w:hAnsi="Times New Roman"/>
          <w:sz w:val="20"/>
          <w:szCs w:val="20"/>
        </w:rPr>
        <w:t xml:space="preserve">[24] S. Tirunagari, S. Bhatt, M. Kus, and T. Kumari, "Automated Extraction of Biomedical Evidence from PubMed Abstracts Using Natural Language Processing," Journal of Biomedical Informatics, vol. 130, p. 104077, 2022.</w:t>
      </w:r>
    </w:p>
    <w:p>
      <w:pPr>
        <w:spacing w:after="80" w:before="0"/>
        <w:ind w:left="360" w:hanging="360"/>
        <w:jc w:val="both"/>
      </w:pPr>
      <w:r>
        <w:rPr>
          <w:rFonts w:ascii="Times New Roman" w:cs="Times New Roman" w:eastAsia="Times New Roman" w:hAnsi="Times New Roman"/>
          <w:sz w:val="20"/>
          <w:szCs w:val="20"/>
        </w:rPr>
        <w:t xml:space="preserve">[25] T. Schick, J. Dwivedi-Yu, R. Dessi, R. Raileanu, M. Lomeli, L. Zettlemoyer, N. Cancedda, and T. Scialom, "Toolformer: Language Models Can Teach Themselves to Use Tools," in Advances in Neural Information Processing Systems (NeurIPS), vol. 36, 2023.</w:t>
      </w:r>
    </w:p>
    <w:p>
      <w:pPr>
        <w:spacing w:after="80" w:before="0"/>
        <w:ind w:left="360" w:hanging="360"/>
        <w:jc w:val="both"/>
      </w:pPr>
      <w:r>
        <w:rPr>
          <w:rFonts w:ascii="Times New Roman" w:cs="Times New Roman" w:eastAsia="Times New Roman" w:hAnsi="Times New Roman"/>
          <w:sz w:val="20"/>
          <w:szCs w:val="20"/>
        </w:rPr>
        <w:t xml:space="preserve">[26] M. Hosseini and H. Seilani, "Agentic AI in Knowledge Work: A Systematic Review of Applications, Architectures, and Open Challenges," IEEE Access, vol. 13, pp. 18920-18945, 2025.</w:t>
      </w:r>
    </w:p>
    <w:p>
      <w:pPr>
        <w:spacing w:after="80" w:before="0"/>
        <w:ind w:left="360" w:hanging="360"/>
        <w:jc w:val="both"/>
      </w:pPr>
      <w:r>
        <w:rPr>
          <w:rFonts w:ascii="Times New Roman" w:cs="Times New Roman" w:eastAsia="Times New Roman" w:hAnsi="Times New Roman"/>
          <w:sz w:val="20"/>
          <w:szCs w:val="20"/>
        </w:rPr>
        <w:t xml:space="preserve">[27] OpenAI, "GPT-4 Technical Report," arXiv preprint arXiv:2303.08774, 2023.</w:t>
      </w:r>
    </w:p>
    <w:p>
      <w:pPr>
        <w:spacing w:after="80" w:before="0"/>
        <w:ind w:left="360" w:hanging="360"/>
        <w:jc w:val="both"/>
      </w:pPr>
      <w:r>
        <w:rPr>
          <w:rFonts w:ascii="Times New Roman" w:cs="Times New Roman" w:eastAsia="Times New Roman" w:hAnsi="Times New Roman"/>
          <w:sz w:val="20"/>
          <w:szCs w:val="20"/>
        </w:rPr>
        <w:t xml:space="preserve">[28] Google DeepMind, "Gemini: A Family of Highly Capable Multimodal Models," arXiv preprint arXiv:2312.11805, 2023.</w:t>
      </w:r>
    </w:p>
    <w:p>
      <w:pPr>
        <w:spacing w:after="80" w:before="0"/>
        <w:ind w:left="360" w:hanging="360"/>
        <w:jc w:val="both"/>
      </w:pPr>
      <w:r>
        <w:rPr>
          <w:rFonts w:ascii="Times New Roman" w:cs="Times New Roman" w:eastAsia="Times New Roman" w:hAnsi="Times New Roman"/>
          <w:sz w:val="20"/>
          <w:szCs w:val="20"/>
        </w:rPr>
        <w:t xml:space="preserve">[29] S. Shen, L. Hou, Y. Zhou, N. Du, S. Longpre, J. Wei, H. W. Chung, B. Zoph, W. Fedus, X. Chen, T. Vu, Y. Wu, W. Wang, A. Webson, Z. Li, X. Ding, D. Garg, T. Gshard, A. Roberts, P. Hou, Y. Hou, N. Hou, and Q. V. Le, "FLAN: Finetuned Language Models Are Zero-Shot Learners," in Proceedings of ICLR, 2022.</w:t>
      </w:r>
    </w:p>
    <w:p>
      <w:pPr>
        <w:spacing w:after="80" w:before="0"/>
        <w:ind w:left="360" w:hanging="360"/>
        <w:jc w:val="both"/>
      </w:pPr>
      <w:r>
        <w:rPr>
          <w:rFonts w:ascii="Times New Roman" w:cs="Times New Roman" w:eastAsia="Times New Roman" w:hAnsi="Times New Roman"/>
          <w:sz w:val="20"/>
          <w:szCs w:val="20"/>
        </w:rPr>
        <w:t xml:space="preserve">[30] S. Schmidgall, Z. Ziaei, F. Nori, P. Scholl, T. Stern, R. Majumder, L. MacDonald, and J. A. Kiehl, "AgentClinic: A Multimodal Agent Benchmark to Evaluate AI in Simulated Clinical Environments," arXiv preprint arXiv:2405.07960, 2025.</w:t>
      </w:r>
    </w:p>
    <w:p>
      <w:pPr>
        <w:spacing w:after="80" w:before="0"/>
        <w:ind w:left="360" w:hanging="360"/>
        <w:jc w:val="both"/>
      </w:pPr>
      <w:r>
        <w:rPr>
          <w:rFonts w:ascii="Times New Roman" w:cs="Times New Roman" w:eastAsia="Times New Roman" w:hAnsi="Times New Roman"/>
          <w:sz w:val="20"/>
          <w:szCs w:val="20"/>
        </w:rPr>
        <w:t xml:space="preserve">[31] X. Liu, H. Yu, H. Zhang, Y. Xu, X. Lei, H. Lai, Y. Gu, H. Ding, K. Men, K. Yang, and J. Tang, "AgentBench: Evaluating LLMs as Agents," arXiv preprint arXiv:2308.03688, 2024.</w:t>
      </w:r>
    </w:p>
    <w:p>
      <w:pPr>
        <w:spacing w:after="80" w:before="0"/>
        <w:ind w:left="360" w:hanging="360"/>
        <w:jc w:val="both"/>
      </w:pPr>
      <w:r>
        <w:rPr>
          <w:rFonts w:ascii="Times New Roman" w:cs="Times New Roman" w:eastAsia="Times New Roman" w:hAnsi="Times New Roman"/>
          <w:sz w:val="20"/>
          <w:szCs w:val="20"/>
        </w:rPr>
        <w:t xml:space="preserve">[32] S. Tikhonov and I. Yamshchikov, "SMTP-Based Asynchronous Report Delivery in AI Research Assistant Pipelines," in Proceedings of the International Conference on Intelligent Systems and Applications, pp. 214-221, 2024.</w:t>
      </w:r>
    </w:p>
    <w:p>
      <w:pPr>
        <w:spacing w:after="80" w:before="0"/>
        <w:ind w:left="360" w:hanging="360"/>
        <w:jc w:val="both"/>
      </w:pPr>
      <w:r>
        <w:rPr>
          <w:rFonts w:ascii="Times New Roman" w:cs="Times New Roman" w:eastAsia="Times New Roman" w:hAnsi="Times New Roman"/>
          <w:sz w:val="20"/>
          <w:szCs w:val="20"/>
        </w:rPr>
        <w:t xml:space="preserve">[33] T. FastAPI, S. Ramirez, "FastAPI: Modern, Fast Web Framework for Building APIs with Python," GitHub Repository, 2023. [Online]. Available: https://github.com/tiangolo/fastapi</w:t>
      </w:r>
    </w:p>
    <w:p>
      <w:pPr>
        <w:spacing w:after="80" w:before="0"/>
        <w:ind w:left="360" w:hanging="360"/>
        <w:jc w:val="both"/>
      </w:pPr>
      <w:r>
        <w:rPr>
          <w:rFonts w:ascii="Times New Roman" w:cs="Times New Roman" w:eastAsia="Times New Roman" w:hAnsi="Times New Roman"/>
          <w:sz w:val="20"/>
          <w:szCs w:val="20"/>
        </w:rPr>
        <w:t xml:space="preserve">[34] A. Kumar and R. Patel, "Failure Mode Analysis in Agentic Literature Retrieval Pipelines: Deduplication, Scope Drift, and Remediation Strategies," in Proceedings of the ACM Conference on Information and Knowledge Management (CIKM), pp. 1102-1111, 2026.</w:t>
      </w:r>
    </w:p>
    <w:p>
      <w:pPr>
        <w:spacing w:after="80" w:before="0"/>
        <w:ind w:left="360" w:hanging="360"/>
        <w:jc w:val="both"/>
      </w:pPr>
      <w:r>
        <w:rPr>
          <w:rFonts w:ascii="Times New Roman" w:cs="Times New Roman" w:eastAsia="Times New Roman" w:hAnsi="Times New Roman"/>
          <w:sz w:val="20"/>
          <w:szCs w:val="20"/>
        </w:rPr>
        <w:t xml:space="preserve">[35] L. Wang, C. Ma, X. Feng, Z. Zhang, H. Yang, J. Zhang, Z. Chen, J. Tang, X. Chen, Y. Lin, W. X. Zhao, Z. Wei, and J.-R. Wen, "A Survey on Large Language Model Based Autonomous Agents," Frontiers of Computer Science, vol. 18, no. 6, p. 186345, 2024.</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37c53e3705dee1a78e44331dcccc6afbf35e0d.png"/><Relationship Id="rId8" Type="http://schemas.openxmlformats.org/officeDocument/2006/relationships/image" Target="media/fe6dd6db953fa65a4e55c5fe34a8f9a9e44f94f3.png"/><Relationship Id="rId9" Type="http://schemas.openxmlformats.org/officeDocument/2006/relationships/image" Target="media/81bd0e58f45b7d32b2bc258015f5fcb4a9a70c29.png"/><Relationship Id="rId10" Type="http://schemas.openxmlformats.org/officeDocument/2006/relationships/image" Target="media/cb655865e8f8bacff070b3a25ec5fca0e64231ff.png"/><Relationship Id="rId11" Type="http://schemas.openxmlformats.org/officeDocument/2006/relationships/image" Target="media/c7e2e51683012384bf0e49c948b5edfb8d30d1b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2026-07-02T07:44:20.453Z</dcterms:created>
  <dcterms:modified xsi:type="dcterms:W3CDTF">2026-07-02T07:44:20.454Z</dcterms:modified>
</cp:coreProperties>
</file>

<file path=docProps/custom.xml><?xml version="1.0" encoding="utf-8"?>
<Properties xmlns="http://schemas.openxmlformats.org/officeDocument/2006/custom-properties" xmlns:vt="http://schemas.openxmlformats.org/officeDocument/2006/docPropsVTypes"/>
</file>