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793" w:rsidRPr="007E117F" w:rsidRDefault="00C21793" w:rsidP="00C21793">
      <w:pPr>
        <w:shd w:val="clear" w:color="auto" w:fill="FFFFFF"/>
        <w:spacing w:after="0" w:line="240" w:lineRule="auto"/>
        <w:jc w:val="both"/>
        <w:rPr>
          <w:rFonts w:ascii="Garamond" w:eastAsia="Times New Roman" w:hAnsi="Garamond" w:cs="Arial"/>
          <w:color w:val="000000"/>
          <w:sz w:val="24"/>
          <w:szCs w:val="24"/>
        </w:rPr>
      </w:pPr>
      <w:r w:rsidRPr="007E117F">
        <w:rPr>
          <w:rFonts w:ascii="Garamond" w:eastAsia="Times New Roman" w:hAnsi="Garamond" w:cs="Arial"/>
          <w:color w:val="000000"/>
          <w:sz w:val="24"/>
          <w:szCs w:val="24"/>
        </w:rPr>
        <w:t xml:space="preserve">In today’s dynamic business environment, companies irrespective of their size, face increased legal, compliance and regulatory challenges. Larger companies typically meet these challenges by employing an in-house general counsel – advocate (or group of advocates) employed full time – to provide legal support and guidance to the company. However, for many businesses, this may not be a viable option. The cost of hiring full-time, in-house advocates/ lawyers to provide </w:t>
      </w:r>
      <w:proofErr w:type="spellStart"/>
      <w:proofErr w:type="gramStart"/>
      <w:r w:rsidRPr="007E117F">
        <w:rPr>
          <w:rFonts w:ascii="Garamond" w:eastAsia="Times New Roman" w:hAnsi="Garamond" w:cs="Arial"/>
          <w:color w:val="000000"/>
          <w:sz w:val="24"/>
          <w:szCs w:val="24"/>
        </w:rPr>
        <w:t>advise</w:t>
      </w:r>
      <w:proofErr w:type="spellEnd"/>
      <w:proofErr w:type="gramEnd"/>
      <w:r w:rsidRPr="007E117F">
        <w:rPr>
          <w:rFonts w:ascii="Garamond" w:eastAsia="Times New Roman" w:hAnsi="Garamond" w:cs="Arial"/>
          <w:color w:val="000000"/>
          <w:sz w:val="24"/>
          <w:szCs w:val="24"/>
        </w:rPr>
        <w:t xml:space="preserve"> regarding entity formations, transactions, corporate governance, employment matters, dispute avoidance and resolution, regulatory compliance checklists and other legal matters may simply be too high. At the same time, companies may also find that engaging a</w:t>
      </w:r>
      <w:hyperlink r:id="rId5" w:history="1">
        <w:r w:rsidRPr="007E117F">
          <w:rPr>
            <w:rFonts w:ascii="Garamond" w:eastAsia="Times New Roman" w:hAnsi="Garamond" w:cs="Arial"/>
            <w:color w:val="000000"/>
            <w:sz w:val="24"/>
            <w:szCs w:val="24"/>
          </w:rPr>
          <w:t> law firm</w:t>
        </w:r>
      </w:hyperlink>
      <w:r w:rsidRPr="007E117F">
        <w:rPr>
          <w:rFonts w:ascii="Garamond" w:eastAsia="Times New Roman" w:hAnsi="Garamond" w:cs="Arial"/>
          <w:color w:val="000000"/>
          <w:sz w:val="24"/>
          <w:szCs w:val="24"/>
        </w:rPr>
        <w:t> on an hourly basis is not the best solution, as legal fees can escalate quickly.</w:t>
      </w:r>
    </w:p>
    <w:p w:rsidR="00C21793" w:rsidRPr="007E117F" w:rsidRDefault="003973CC" w:rsidP="00C21793">
      <w:pPr>
        <w:shd w:val="clear" w:color="auto" w:fill="FFFFFF"/>
        <w:spacing w:before="450" w:after="300" w:line="240" w:lineRule="auto"/>
        <w:outlineLvl w:val="4"/>
        <w:rPr>
          <w:rFonts w:ascii="Garamond" w:eastAsia="Times New Roman" w:hAnsi="Garamond" w:cs="Times New Roman"/>
          <w:b/>
          <w:bCs/>
          <w:sz w:val="24"/>
          <w:szCs w:val="24"/>
        </w:rPr>
      </w:pPr>
      <w:r w:rsidRPr="003973CC">
        <w:rPr>
          <w:rFonts w:ascii="Garamond" w:eastAsia="Times New Roman" w:hAnsi="Garamond" w:cs="Times New Roman"/>
          <w:b/>
          <w:color w:val="000000" w:themeColor="text1"/>
          <w:sz w:val="24"/>
          <w:szCs w:val="24"/>
        </w:rPr>
        <w:t>Lex and Fin</w:t>
      </w:r>
      <w:r>
        <w:rPr>
          <w:rFonts w:ascii="Times New Roman" w:eastAsia="Times New Roman" w:hAnsi="Times New Roman" w:cs="Times New Roman"/>
          <w:color w:val="000000" w:themeColor="text1"/>
          <w:sz w:val="24"/>
          <w:szCs w:val="24"/>
        </w:rPr>
        <w:t xml:space="preserve"> </w:t>
      </w:r>
      <w:r w:rsidR="00C21793" w:rsidRPr="007E117F">
        <w:rPr>
          <w:rFonts w:ascii="Garamond" w:eastAsia="Times New Roman" w:hAnsi="Garamond" w:cs="Times New Roman"/>
          <w:b/>
          <w:bCs/>
          <w:sz w:val="24"/>
          <w:szCs w:val="24"/>
        </w:rPr>
        <w:t>offers an alternative</w:t>
      </w:r>
    </w:p>
    <w:p w:rsidR="00C21793" w:rsidRPr="007E117F" w:rsidRDefault="00C21793" w:rsidP="00C21793">
      <w:pPr>
        <w:shd w:val="clear" w:color="auto" w:fill="FFFFFF"/>
        <w:spacing w:after="150" w:line="240" w:lineRule="auto"/>
        <w:jc w:val="both"/>
        <w:rPr>
          <w:rFonts w:ascii="Garamond" w:eastAsia="Times New Roman" w:hAnsi="Garamond" w:cs="Arial"/>
          <w:color w:val="000000"/>
          <w:sz w:val="24"/>
          <w:szCs w:val="24"/>
        </w:rPr>
      </w:pPr>
      <w:r w:rsidRPr="007E117F">
        <w:rPr>
          <w:rFonts w:ascii="Garamond" w:eastAsia="Times New Roman" w:hAnsi="Garamond" w:cs="Arial"/>
          <w:color w:val="000000"/>
          <w:sz w:val="24"/>
          <w:szCs w:val="24"/>
        </w:rPr>
        <w:t xml:space="preserve">We provide outside general counsel services/in-house legal services in </w:t>
      </w:r>
      <w:r w:rsidR="009E52D3" w:rsidRPr="007E117F">
        <w:rPr>
          <w:rFonts w:ascii="Garamond" w:eastAsia="Times New Roman" w:hAnsi="Garamond" w:cs="Arial"/>
          <w:color w:val="000000"/>
          <w:sz w:val="24"/>
          <w:szCs w:val="24"/>
        </w:rPr>
        <w:t>Pakistan</w:t>
      </w:r>
      <w:r w:rsidRPr="007E117F">
        <w:rPr>
          <w:rFonts w:ascii="Garamond" w:eastAsia="Times New Roman" w:hAnsi="Garamond" w:cs="Arial"/>
          <w:color w:val="000000"/>
          <w:sz w:val="24"/>
          <w:szCs w:val="24"/>
        </w:rPr>
        <w:t> on a fixed fee/ retainer basis.</w:t>
      </w:r>
    </w:p>
    <w:p w:rsidR="00C21793" w:rsidRPr="007E117F" w:rsidRDefault="003973CC" w:rsidP="00C21793">
      <w:pPr>
        <w:shd w:val="clear" w:color="auto" w:fill="FFFFFF"/>
        <w:spacing w:after="150" w:line="240" w:lineRule="auto"/>
        <w:jc w:val="both"/>
        <w:rPr>
          <w:rFonts w:ascii="Garamond" w:eastAsia="Times New Roman" w:hAnsi="Garamond" w:cs="Arial"/>
          <w:color w:val="000000"/>
          <w:sz w:val="24"/>
          <w:szCs w:val="24"/>
        </w:rPr>
      </w:pPr>
      <w:r>
        <w:rPr>
          <w:rFonts w:ascii="Garamond" w:eastAsia="Times New Roman" w:hAnsi="Garamond" w:cs="Times New Roman"/>
          <w:color w:val="000000" w:themeColor="text1"/>
          <w:sz w:val="24"/>
          <w:szCs w:val="24"/>
        </w:rPr>
        <w:t>Lex and Fin</w:t>
      </w:r>
      <w:r>
        <w:rPr>
          <w:rFonts w:ascii="Times New Roman" w:eastAsia="Times New Roman" w:hAnsi="Times New Roman" w:cs="Times New Roman"/>
          <w:color w:val="000000" w:themeColor="text1"/>
          <w:sz w:val="24"/>
          <w:szCs w:val="24"/>
        </w:rPr>
        <w:t xml:space="preserve"> </w:t>
      </w:r>
      <w:r w:rsidR="00C21793" w:rsidRPr="007E117F">
        <w:rPr>
          <w:rFonts w:ascii="Garamond" w:eastAsia="Times New Roman" w:hAnsi="Garamond" w:cs="Arial"/>
          <w:color w:val="000000"/>
          <w:sz w:val="24"/>
          <w:szCs w:val="24"/>
        </w:rPr>
        <w:t xml:space="preserve">eases the challenges of, day to day legal requirements coupled with the high cost involved in housing professionals to ensure quick efficient advice, by packaging all legal assistance both day-to-day as well as a transaction under an umbrella at a pre-agreed, fixed fee. This approach has served </w:t>
      </w:r>
      <w:r>
        <w:rPr>
          <w:rFonts w:ascii="Garamond" w:eastAsia="Times New Roman" w:hAnsi="Garamond" w:cs="Times New Roman"/>
          <w:color w:val="000000" w:themeColor="text1"/>
          <w:sz w:val="24"/>
          <w:szCs w:val="24"/>
        </w:rPr>
        <w:t>Lex and Fin</w:t>
      </w:r>
      <w:r w:rsidR="00C21793" w:rsidRPr="007E117F">
        <w:rPr>
          <w:rFonts w:ascii="Garamond" w:eastAsia="Times New Roman" w:hAnsi="Garamond" w:cs="Arial"/>
          <w:color w:val="000000"/>
          <w:sz w:val="24"/>
          <w:szCs w:val="24"/>
        </w:rPr>
        <w:t xml:space="preserve"> and its clients to align their business interests to find the most efficient and cost-effective solutions to all legal and compliance matters. The aim of this service is total transparency and providing our general counsel clients with the comfort of never having to doubt whether a question is worth asking or whether an issue warrants a consultation, as there is no additional or hidden cost involved. </w:t>
      </w:r>
      <w:r>
        <w:rPr>
          <w:rFonts w:ascii="Garamond" w:eastAsia="Times New Roman" w:hAnsi="Garamond" w:cs="Times New Roman"/>
          <w:color w:val="000000" w:themeColor="text1"/>
          <w:sz w:val="24"/>
          <w:szCs w:val="24"/>
        </w:rPr>
        <w:t>Lex and Fin</w:t>
      </w:r>
      <w:r w:rsidR="00C21793" w:rsidRPr="007E117F">
        <w:rPr>
          <w:rFonts w:ascii="Garamond" w:eastAsia="Times New Roman" w:hAnsi="Garamond" w:cs="Arial"/>
          <w:color w:val="000000"/>
          <w:sz w:val="24"/>
          <w:szCs w:val="24"/>
        </w:rPr>
        <w:t>’s incentive is to resolve the clients’ challenges quickly and accurately and not to create billable hours.</w:t>
      </w:r>
    </w:p>
    <w:p w:rsidR="00C21793" w:rsidRPr="007E117F" w:rsidRDefault="00C21793" w:rsidP="00C21793">
      <w:pPr>
        <w:shd w:val="clear" w:color="auto" w:fill="FFFFFF"/>
        <w:spacing w:after="150" w:line="240" w:lineRule="auto"/>
        <w:jc w:val="both"/>
        <w:rPr>
          <w:rFonts w:ascii="Garamond" w:eastAsia="Times New Roman" w:hAnsi="Garamond" w:cs="Arial"/>
          <w:color w:val="000000"/>
          <w:sz w:val="24"/>
          <w:szCs w:val="24"/>
        </w:rPr>
      </w:pPr>
      <w:r w:rsidRPr="007E117F">
        <w:rPr>
          <w:rFonts w:ascii="Garamond" w:eastAsia="Times New Roman" w:hAnsi="Garamond" w:cs="Arial"/>
          <w:color w:val="000000"/>
          <w:sz w:val="24"/>
          <w:szCs w:val="24"/>
        </w:rPr>
        <w:t>Since each business’ requirement is unique, our services are tailored to meet each client’s specific requirements and based on understanding the legal needs for smooth transactional and operational compliance, our specialized resources are assigned to provide dedicated services.</w:t>
      </w:r>
    </w:p>
    <w:p w:rsidR="00C21793" w:rsidRPr="007E117F" w:rsidRDefault="00C21793" w:rsidP="00C21793">
      <w:pPr>
        <w:shd w:val="clear" w:color="auto" w:fill="FFFFFF"/>
        <w:spacing w:after="0" w:line="240" w:lineRule="auto"/>
        <w:jc w:val="both"/>
        <w:rPr>
          <w:rFonts w:ascii="Garamond" w:eastAsia="Times New Roman" w:hAnsi="Garamond" w:cs="Arial"/>
          <w:color w:val="000000"/>
          <w:sz w:val="24"/>
          <w:szCs w:val="24"/>
        </w:rPr>
      </w:pPr>
      <w:r w:rsidRPr="007E117F">
        <w:rPr>
          <w:rFonts w:ascii="Garamond" w:eastAsia="Times New Roman" w:hAnsi="Garamond" w:cs="Arial"/>
          <w:color w:val="000000"/>
          <w:sz w:val="24"/>
          <w:szCs w:val="24"/>
        </w:rPr>
        <w:t>Although we offer a full range of legal services across a broad spectrum of practice areas including but not limited to Corporate, Merger and Acquisitions, Private Equity, Real Estate, Education,</w:t>
      </w:r>
      <w:hyperlink r:id="rId6" w:history="1">
        <w:r w:rsidRPr="007E117F">
          <w:rPr>
            <w:rFonts w:ascii="Garamond" w:eastAsia="Times New Roman" w:hAnsi="Garamond" w:cs="Arial"/>
            <w:color w:val="000000"/>
            <w:sz w:val="24"/>
            <w:szCs w:val="24"/>
          </w:rPr>
          <w:t> Intellectual Property</w:t>
        </w:r>
      </w:hyperlink>
      <w:r w:rsidRPr="007E117F">
        <w:rPr>
          <w:rFonts w:ascii="Garamond" w:eastAsia="Times New Roman" w:hAnsi="Garamond" w:cs="Arial"/>
          <w:color w:val="000000"/>
          <w:sz w:val="24"/>
          <w:szCs w:val="24"/>
        </w:rPr>
        <w:t xml:space="preserve">, Employment and </w:t>
      </w:r>
      <w:proofErr w:type="spellStart"/>
      <w:r w:rsidRPr="007E117F">
        <w:rPr>
          <w:rFonts w:ascii="Garamond" w:eastAsia="Times New Roman" w:hAnsi="Garamond" w:cs="Arial"/>
          <w:color w:val="000000"/>
          <w:sz w:val="24"/>
          <w:szCs w:val="24"/>
        </w:rPr>
        <w:t>Labour</w:t>
      </w:r>
      <w:proofErr w:type="spellEnd"/>
      <w:r w:rsidRPr="007E117F">
        <w:rPr>
          <w:rFonts w:ascii="Garamond" w:eastAsia="Times New Roman" w:hAnsi="Garamond" w:cs="Arial"/>
          <w:color w:val="000000"/>
          <w:sz w:val="24"/>
          <w:szCs w:val="24"/>
        </w:rPr>
        <w:t>, Licensing and Registrations, Taxation (Direct &amp; Indirect), business setup (globally), it is our General Counsel/In-house Legal Services that we prefer our clients gravitate towards, as it optimizes not only effortless functionality for the business/ client, but also provides us with an opportunity to cater to the needs of the client to enable total legal compliance as well as provide immediate counsel for urgent as well as successful expansion needs of the business. Regular legal advice, not only improves an organizations ability to understand different legal issues thoroughly but also safeguards business owners interests in certain situations including being sued for discrimination by employees, legal violations and negotiating the sale of a business, contracts and in a business transaction requiring varying levels of negotiations, document preparations and reviews.</w:t>
      </w:r>
    </w:p>
    <w:p w:rsidR="00C21793" w:rsidRPr="007E117F" w:rsidRDefault="00C21793" w:rsidP="00C21793">
      <w:pPr>
        <w:shd w:val="clear" w:color="auto" w:fill="FFFFFF"/>
        <w:spacing w:before="450" w:after="300" w:line="240" w:lineRule="auto"/>
        <w:outlineLvl w:val="1"/>
        <w:rPr>
          <w:rFonts w:ascii="Garamond" w:eastAsia="Times New Roman" w:hAnsi="Garamond" w:cs="Times New Roman"/>
          <w:b/>
          <w:bCs/>
          <w:sz w:val="24"/>
          <w:szCs w:val="24"/>
        </w:rPr>
      </w:pPr>
      <w:r w:rsidRPr="007E117F">
        <w:rPr>
          <w:rFonts w:ascii="Garamond" w:eastAsia="Times New Roman" w:hAnsi="Garamond" w:cs="Times New Roman"/>
          <w:b/>
          <w:bCs/>
          <w:sz w:val="24"/>
          <w:szCs w:val="24"/>
        </w:rPr>
        <w:t>The Scope of General Services</w:t>
      </w:r>
    </w:p>
    <w:p w:rsidR="00C21793" w:rsidRPr="007E117F" w:rsidRDefault="00C21793" w:rsidP="00C21793">
      <w:pPr>
        <w:shd w:val="clear" w:color="auto" w:fill="FFFFFF"/>
        <w:spacing w:after="150" w:line="240" w:lineRule="auto"/>
        <w:jc w:val="both"/>
        <w:rPr>
          <w:rFonts w:ascii="Garamond" w:eastAsia="Times New Roman" w:hAnsi="Garamond" w:cs="Arial"/>
          <w:color w:val="000000"/>
          <w:sz w:val="24"/>
          <w:szCs w:val="24"/>
        </w:rPr>
      </w:pPr>
      <w:r w:rsidRPr="007E117F">
        <w:rPr>
          <w:rFonts w:ascii="Garamond" w:eastAsia="Times New Roman" w:hAnsi="Garamond" w:cs="Arial"/>
          <w:color w:val="000000"/>
          <w:sz w:val="24"/>
          <w:szCs w:val="24"/>
        </w:rPr>
        <w:t xml:space="preserve">General Counsel/ </w:t>
      </w:r>
      <w:r w:rsidR="009E52D3" w:rsidRPr="007E117F">
        <w:rPr>
          <w:rFonts w:ascii="Garamond" w:eastAsia="Times New Roman" w:hAnsi="Garamond" w:cs="Arial"/>
          <w:color w:val="000000"/>
          <w:sz w:val="24"/>
          <w:szCs w:val="24"/>
        </w:rPr>
        <w:t>In-house legal services that </w:t>
      </w:r>
      <w:r w:rsidR="003973CC">
        <w:rPr>
          <w:rFonts w:ascii="Garamond" w:eastAsia="Times New Roman" w:hAnsi="Garamond" w:cs="Times New Roman"/>
          <w:color w:val="000000" w:themeColor="text1"/>
          <w:sz w:val="24"/>
          <w:szCs w:val="24"/>
        </w:rPr>
        <w:t>Lex and Fin</w:t>
      </w:r>
      <w:r w:rsidR="003973CC">
        <w:rPr>
          <w:rFonts w:ascii="Times New Roman" w:eastAsia="Times New Roman" w:hAnsi="Times New Roman" w:cs="Times New Roman"/>
          <w:color w:val="000000" w:themeColor="text1"/>
          <w:sz w:val="24"/>
          <w:szCs w:val="24"/>
        </w:rPr>
        <w:t xml:space="preserve"> </w:t>
      </w:r>
      <w:r w:rsidRPr="007E117F">
        <w:rPr>
          <w:rFonts w:ascii="Garamond" w:eastAsia="Times New Roman" w:hAnsi="Garamond" w:cs="Arial"/>
          <w:color w:val="000000"/>
          <w:sz w:val="24"/>
          <w:szCs w:val="24"/>
        </w:rPr>
        <w:t>provides to its clients can be broadly categorized into three segments:</w:t>
      </w:r>
    </w:p>
    <w:p w:rsidR="00C21793" w:rsidRPr="007E117F" w:rsidRDefault="00C21793" w:rsidP="00C21793">
      <w:pPr>
        <w:numPr>
          <w:ilvl w:val="0"/>
          <w:numId w:val="1"/>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Advice on daily functioning and operations in the company</w:t>
      </w:r>
    </w:p>
    <w:p w:rsidR="00C21793" w:rsidRPr="007E117F" w:rsidRDefault="003973CC" w:rsidP="00C21793">
      <w:pPr>
        <w:numPr>
          <w:ilvl w:val="0"/>
          <w:numId w:val="1"/>
        </w:numPr>
        <w:shd w:val="clear" w:color="auto" w:fill="FFFFFF"/>
        <w:spacing w:after="0" w:line="240" w:lineRule="auto"/>
        <w:ind w:left="0"/>
        <w:jc w:val="both"/>
        <w:textAlignment w:val="center"/>
        <w:rPr>
          <w:rFonts w:ascii="Garamond" w:eastAsia="Times New Roman" w:hAnsi="Garamond" w:cs="Arial"/>
          <w:color w:val="000000"/>
          <w:sz w:val="24"/>
          <w:szCs w:val="24"/>
        </w:rPr>
      </w:pPr>
      <w:hyperlink r:id="rId7" w:history="1">
        <w:r w:rsidR="00C21793" w:rsidRPr="007E117F">
          <w:rPr>
            <w:rFonts w:ascii="Garamond" w:eastAsia="Times New Roman" w:hAnsi="Garamond" w:cs="Arial"/>
            <w:color w:val="000000"/>
            <w:sz w:val="24"/>
            <w:szCs w:val="24"/>
          </w:rPr>
          <w:t>Corporate governance</w:t>
        </w:r>
      </w:hyperlink>
      <w:r w:rsidR="00C21793" w:rsidRPr="007E117F">
        <w:rPr>
          <w:rFonts w:ascii="Garamond" w:eastAsia="Times New Roman" w:hAnsi="Garamond" w:cs="Arial"/>
          <w:color w:val="000000"/>
          <w:sz w:val="24"/>
          <w:szCs w:val="24"/>
        </w:rPr>
        <w:t> and Company Secretarial Services</w:t>
      </w:r>
    </w:p>
    <w:p w:rsidR="00C21793" w:rsidRPr="007E117F" w:rsidRDefault="00C21793" w:rsidP="00C21793">
      <w:pPr>
        <w:numPr>
          <w:ilvl w:val="0"/>
          <w:numId w:val="1"/>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 xml:space="preserve">Advice relating to human resources/ employment/ </w:t>
      </w:r>
      <w:proofErr w:type="spellStart"/>
      <w:r w:rsidRPr="007E117F">
        <w:rPr>
          <w:rFonts w:ascii="Garamond" w:eastAsia="Times New Roman" w:hAnsi="Garamond" w:cs="Arial"/>
          <w:color w:val="000000"/>
          <w:sz w:val="24"/>
          <w:szCs w:val="24"/>
        </w:rPr>
        <w:t>labour</w:t>
      </w:r>
      <w:proofErr w:type="spellEnd"/>
      <w:r w:rsidRPr="007E117F">
        <w:rPr>
          <w:rFonts w:ascii="Garamond" w:eastAsia="Times New Roman" w:hAnsi="Garamond" w:cs="Arial"/>
          <w:color w:val="000000"/>
          <w:sz w:val="24"/>
          <w:szCs w:val="24"/>
        </w:rPr>
        <w:t xml:space="preserve"> related concerns for the company</w:t>
      </w:r>
    </w:p>
    <w:p w:rsidR="00C21793" w:rsidRPr="007E117F" w:rsidRDefault="00C21793" w:rsidP="00C21793">
      <w:pPr>
        <w:shd w:val="clear" w:color="auto" w:fill="FFFFFF"/>
        <w:spacing w:before="450" w:after="300" w:line="240" w:lineRule="auto"/>
        <w:outlineLvl w:val="4"/>
        <w:rPr>
          <w:rFonts w:ascii="Garamond" w:eastAsia="Times New Roman" w:hAnsi="Garamond" w:cs="Times New Roman"/>
          <w:b/>
          <w:bCs/>
          <w:sz w:val="24"/>
          <w:szCs w:val="24"/>
        </w:rPr>
      </w:pPr>
      <w:r w:rsidRPr="007E117F">
        <w:rPr>
          <w:rFonts w:ascii="Garamond" w:eastAsia="Times New Roman" w:hAnsi="Garamond" w:cs="Times New Roman"/>
          <w:b/>
          <w:bCs/>
          <w:sz w:val="24"/>
          <w:szCs w:val="24"/>
        </w:rPr>
        <w:t>Advice relating to day-to-day operations of the company:</w:t>
      </w:r>
    </w:p>
    <w:p w:rsidR="00C21793" w:rsidRPr="007E117F" w:rsidRDefault="00C21793" w:rsidP="00C21793">
      <w:pPr>
        <w:numPr>
          <w:ilvl w:val="0"/>
          <w:numId w:val="2"/>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Reviewing operations of the organization, key contracts, vendor relationships, processes and key documents</w:t>
      </w:r>
    </w:p>
    <w:p w:rsidR="00C21793" w:rsidRPr="007E117F" w:rsidRDefault="00C21793" w:rsidP="00C21793">
      <w:pPr>
        <w:numPr>
          <w:ilvl w:val="0"/>
          <w:numId w:val="2"/>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Drafting, negotiating, reviewing and dispute avoidance and resolution with respect to commercial contracts (including but not limited to employment, independent contractors, vendors, customers, re-sellers, purchase-lease and licensing agreements)</w:t>
      </w:r>
    </w:p>
    <w:p w:rsidR="00C21793" w:rsidRPr="007E117F" w:rsidRDefault="00C21793" w:rsidP="00C21793">
      <w:pPr>
        <w:numPr>
          <w:ilvl w:val="0"/>
          <w:numId w:val="2"/>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Assistance and guidance on managing intellectual property.</w:t>
      </w:r>
    </w:p>
    <w:p w:rsidR="00C21793" w:rsidRPr="007E117F" w:rsidRDefault="00C21793" w:rsidP="00C21793">
      <w:pPr>
        <w:numPr>
          <w:ilvl w:val="0"/>
          <w:numId w:val="2"/>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Drafting, review and modification of privacy policies, terms of use and other internet and information technology matters</w:t>
      </w:r>
    </w:p>
    <w:p w:rsidR="00C21793" w:rsidRPr="007E117F" w:rsidRDefault="00C21793" w:rsidP="00C21793">
      <w:pPr>
        <w:numPr>
          <w:ilvl w:val="0"/>
          <w:numId w:val="2"/>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Pre-litigation dispute resolution and assistance with collections strategies.</w:t>
      </w:r>
    </w:p>
    <w:p w:rsidR="00C21793" w:rsidRPr="007E117F" w:rsidRDefault="00C21793" w:rsidP="00C21793">
      <w:pPr>
        <w:numPr>
          <w:ilvl w:val="0"/>
          <w:numId w:val="2"/>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Assistance with regulatory compliance, processes and strategies.</w:t>
      </w:r>
    </w:p>
    <w:p w:rsidR="00C21793" w:rsidRPr="007E117F" w:rsidRDefault="00C21793" w:rsidP="00C21793">
      <w:pPr>
        <w:numPr>
          <w:ilvl w:val="0"/>
          <w:numId w:val="2"/>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Risk analysis and mitigation strategies</w:t>
      </w:r>
    </w:p>
    <w:p w:rsidR="00C21793" w:rsidRPr="007E117F" w:rsidRDefault="00C21793" w:rsidP="00C21793">
      <w:pPr>
        <w:numPr>
          <w:ilvl w:val="0"/>
          <w:numId w:val="2"/>
        </w:numPr>
        <w:shd w:val="clear" w:color="auto" w:fill="FFFFFF"/>
        <w:spacing w:after="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Comprehensive </w:t>
      </w:r>
      <w:r w:rsidRPr="007E117F">
        <w:rPr>
          <w:rFonts w:ascii="Garamond" w:eastAsia="Times New Roman" w:hAnsi="Garamond" w:cs="Arial"/>
          <w:b/>
          <w:bCs/>
          <w:color w:val="000000"/>
          <w:sz w:val="24"/>
          <w:szCs w:val="24"/>
        </w:rPr>
        <w:t>general day-to-day counselling</w:t>
      </w:r>
      <w:r w:rsidRPr="007E117F">
        <w:rPr>
          <w:rFonts w:ascii="Garamond" w:eastAsia="Times New Roman" w:hAnsi="Garamond" w:cs="Arial"/>
          <w:color w:val="000000"/>
          <w:sz w:val="24"/>
          <w:szCs w:val="24"/>
        </w:rPr>
        <w:t> and advice</w:t>
      </w:r>
    </w:p>
    <w:p w:rsidR="00C21793" w:rsidRPr="007E117F" w:rsidRDefault="00C21793" w:rsidP="00C21793">
      <w:pPr>
        <w:numPr>
          <w:ilvl w:val="0"/>
          <w:numId w:val="2"/>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Ongoing advice on the legal implications of business decisions</w:t>
      </w:r>
    </w:p>
    <w:p w:rsidR="00C21793" w:rsidRPr="007E117F" w:rsidRDefault="00C21793" w:rsidP="00C21793">
      <w:pPr>
        <w:numPr>
          <w:ilvl w:val="0"/>
          <w:numId w:val="2"/>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Early dispute identification, avoidance and resolution</w:t>
      </w:r>
    </w:p>
    <w:p w:rsidR="00C21793" w:rsidRPr="007E117F" w:rsidRDefault="00C21793" w:rsidP="00C21793">
      <w:pPr>
        <w:shd w:val="clear" w:color="auto" w:fill="FFFFFF"/>
        <w:spacing w:before="450" w:after="300" w:line="240" w:lineRule="auto"/>
        <w:outlineLvl w:val="4"/>
        <w:rPr>
          <w:rFonts w:ascii="Garamond" w:eastAsia="Times New Roman" w:hAnsi="Garamond" w:cs="Times New Roman"/>
          <w:b/>
          <w:bCs/>
          <w:sz w:val="24"/>
          <w:szCs w:val="24"/>
        </w:rPr>
      </w:pPr>
      <w:r w:rsidRPr="007E117F">
        <w:rPr>
          <w:rFonts w:ascii="Garamond" w:eastAsia="Times New Roman" w:hAnsi="Garamond" w:cs="Times New Roman"/>
          <w:b/>
          <w:bCs/>
          <w:sz w:val="24"/>
          <w:szCs w:val="24"/>
        </w:rPr>
        <w:t>Advice relating to employment / human resources:</w:t>
      </w:r>
    </w:p>
    <w:p w:rsidR="00C21793" w:rsidRPr="007E117F" w:rsidRDefault="00C21793" w:rsidP="00C21793">
      <w:pPr>
        <w:numPr>
          <w:ilvl w:val="0"/>
          <w:numId w:val="3"/>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Drafting of the employment manual/ employee handbook and other employment-related agreements/ policies and regular revision of the same as per law</w:t>
      </w:r>
    </w:p>
    <w:p w:rsidR="00C21793" w:rsidRPr="007E117F" w:rsidRDefault="00C21793" w:rsidP="00C21793">
      <w:pPr>
        <w:numPr>
          <w:ilvl w:val="0"/>
          <w:numId w:val="3"/>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Review, assess and revise restrictive covenants (non-competition, non-solicitation, non-disclosure or confidentiality agreements/NDA’s), tailored to the company’s business and protectable interests</w:t>
      </w:r>
    </w:p>
    <w:p w:rsidR="00C21793" w:rsidRPr="007E117F" w:rsidRDefault="00C21793" w:rsidP="00C21793">
      <w:pPr>
        <w:numPr>
          <w:ilvl w:val="0"/>
          <w:numId w:val="3"/>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Employee review assistance</w:t>
      </w:r>
    </w:p>
    <w:p w:rsidR="00C21793" w:rsidRPr="007E117F" w:rsidRDefault="00C21793" w:rsidP="00C21793">
      <w:pPr>
        <w:numPr>
          <w:ilvl w:val="0"/>
          <w:numId w:val="3"/>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Employee separation processing/ Termination of employees</w:t>
      </w:r>
    </w:p>
    <w:p w:rsidR="00C21793" w:rsidRPr="007E117F" w:rsidRDefault="00C21793" w:rsidP="00C21793">
      <w:pPr>
        <w:numPr>
          <w:ilvl w:val="0"/>
          <w:numId w:val="3"/>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 xml:space="preserve">Assistance with </w:t>
      </w:r>
      <w:proofErr w:type="spellStart"/>
      <w:r w:rsidRPr="007E117F">
        <w:rPr>
          <w:rFonts w:ascii="Garamond" w:eastAsia="Times New Roman" w:hAnsi="Garamond" w:cs="Arial"/>
          <w:color w:val="000000"/>
          <w:sz w:val="24"/>
          <w:szCs w:val="24"/>
        </w:rPr>
        <w:t>labour</w:t>
      </w:r>
      <w:proofErr w:type="spellEnd"/>
      <w:r w:rsidRPr="007E117F">
        <w:rPr>
          <w:rFonts w:ascii="Garamond" w:eastAsia="Times New Roman" w:hAnsi="Garamond" w:cs="Arial"/>
          <w:color w:val="000000"/>
          <w:sz w:val="24"/>
          <w:szCs w:val="24"/>
        </w:rPr>
        <w:t xml:space="preserve"> law compliance</w:t>
      </w:r>
    </w:p>
    <w:p w:rsidR="00C21793" w:rsidRPr="007E117F" w:rsidRDefault="00C21793" w:rsidP="00C21793">
      <w:pPr>
        <w:shd w:val="clear" w:color="auto" w:fill="FFFFFF"/>
        <w:spacing w:before="450" w:after="300" w:line="240" w:lineRule="auto"/>
        <w:outlineLvl w:val="4"/>
        <w:rPr>
          <w:rFonts w:ascii="Garamond" w:eastAsia="Times New Roman" w:hAnsi="Garamond" w:cs="Times New Roman"/>
          <w:b/>
          <w:bCs/>
          <w:sz w:val="24"/>
          <w:szCs w:val="24"/>
        </w:rPr>
      </w:pPr>
      <w:r w:rsidRPr="007E117F">
        <w:rPr>
          <w:rFonts w:ascii="Garamond" w:eastAsia="Times New Roman" w:hAnsi="Garamond" w:cs="Times New Roman"/>
          <w:b/>
          <w:bCs/>
          <w:sz w:val="24"/>
          <w:szCs w:val="24"/>
        </w:rPr>
        <w:t>Corporate Governance and Secretarial Services:</w:t>
      </w:r>
    </w:p>
    <w:p w:rsidR="00C21793" w:rsidRPr="007E117F" w:rsidRDefault="00C21793" w:rsidP="00C21793">
      <w:pPr>
        <w:numPr>
          <w:ilvl w:val="0"/>
          <w:numId w:val="4"/>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Entity formation analysis and filings</w:t>
      </w:r>
    </w:p>
    <w:p w:rsidR="00C21793" w:rsidRPr="007E117F" w:rsidRDefault="00C21793" w:rsidP="00C21793">
      <w:pPr>
        <w:numPr>
          <w:ilvl w:val="0"/>
          <w:numId w:val="4"/>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A periodic check on corporate or other filings, fees and others company compliances</w:t>
      </w:r>
    </w:p>
    <w:p w:rsidR="00C21793" w:rsidRPr="007E117F" w:rsidRDefault="00C21793" w:rsidP="00C21793">
      <w:pPr>
        <w:numPr>
          <w:ilvl w:val="0"/>
          <w:numId w:val="4"/>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Assistance in managing minute books, preparation of board and shareholder resolutions and attendance at board meetings</w:t>
      </w:r>
    </w:p>
    <w:p w:rsidR="00C21793" w:rsidRPr="007E117F" w:rsidRDefault="00C21793" w:rsidP="00C21793">
      <w:pPr>
        <w:numPr>
          <w:ilvl w:val="0"/>
          <w:numId w:val="4"/>
        </w:numPr>
        <w:shd w:val="clear" w:color="auto" w:fill="FFFFFF"/>
        <w:spacing w:after="150" w:line="240" w:lineRule="auto"/>
        <w:ind w:left="0"/>
        <w:jc w:val="both"/>
        <w:textAlignment w:val="center"/>
        <w:rPr>
          <w:rFonts w:ascii="Garamond" w:eastAsia="Times New Roman" w:hAnsi="Garamond" w:cs="Arial"/>
          <w:color w:val="000000"/>
          <w:sz w:val="24"/>
          <w:szCs w:val="24"/>
        </w:rPr>
      </w:pPr>
      <w:r w:rsidRPr="007E117F">
        <w:rPr>
          <w:rFonts w:ascii="Garamond" w:eastAsia="Times New Roman" w:hAnsi="Garamond" w:cs="Arial"/>
          <w:color w:val="000000"/>
          <w:sz w:val="24"/>
          <w:szCs w:val="24"/>
        </w:rPr>
        <w:t>Review and implementation of corporate governance procedures</w:t>
      </w:r>
    </w:p>
    <w:p w:rsidR="00C21793" w:rsidRPr="007E117F" w:rsidRDefault="003973CC" w:rsidP="00C21793">
      <w:pPr>
        <w:shd w:val="clear" w:color="auto" w:fill="FFFFFF"/>
        <w:spacing w:after="150" w:line="240" w:lineRule="auto"/>
        <w:jc w:val="both"/>
        <w:rPr>
          <w:rFonts w:ascii="Garamond" w:eastAsia="Times New Roman" w:hAnsi="Garamond" w:cs="Arial"/>
          <w:color w:val="000000"/>
          <w:sz w:val="24"/>
          <w:szCs w:val="24"/>
        </w:rPr>
      </w:pPr>
      <w:r>
        <w:rPr>
          <w:rFonts w:ascii="Garamond" w:eastAsia="Times New Roman" w:hAnsi="Garamond" w:cs="Times New Roman"/>
          <w:color w:val="000000" w:themeColor="text1"/>
          <w:sz w:val="24"/>
          <w:szCs w:val="24"/>
        </w:rPr>
        <w:lastRenderedPageBreak/>
        <w:t>Lex and Fin</w:t>
      </w:r>
      <w:r>
        <w:rPr>
          <w:rFonts w:ascii="Times New Roman" w:eastAsia="Times New Roman" w:hAnsi="Times New Roman" w:cs="Times New Roman"/>
          <w:color w:val="000000" w:themeColor="text1"/>
          <w:sz w:val="24"/>
          <w:szCs w:val="24"/>
        </w:rPr>
        <w:t xml:space="preserve"> </w:t>
      </w:r>
      <w:r w:rsidR="00C21793" w:rsidRPr="007E117F">
        <w:rPr>
          <w:rFonts w:ascii="Garamond" w:eastAsia="Times New Roman" w:hAnsi="Garamond" w:cs="Arial"/>
          <w:color w:val="000000"/>
          <w:sz w:val="24"/>
          <w:szCs w:val="24"/>
        </w:rPr>
        <w:t xml:space="preserve">further enhances the general corporate services to its retainer clients by providing feasible options for fulfilment of their expansion needs such as conducting comprehensive due diligence and transactional needs including drafting, negotiating and reviewing business documents such as shareholder agreements, purchase agreements, merger </w:t>
      </w:r>
      <w:r w:rsidR="00ED3827" w:rsidRPr="007E117F">
        <w:rPr>
          <w:rFonts w:ascii="Garamond" w:eastAsia="Times New Roman" w:hAnsi="Garamond" w:cs="Arial"/>
          <w:color w:val="000000"/>
          <w:sz w:val="24"/>
          <w:szCs w:val="24"/>
        </w:rPr>
        <w:t>documents, disclosure letters, </w:t>
      </w:r>
      <w:r w:rsidR="00C21793" w:rsidRPr="007E117F">
        <w:rPr>
          <w:rFonts w:ascii="Garamond" w:eastAsia="Times New Roman" w:hAnsi="Garamond" w:cs="Arial"/>
          <w:color w:val="000000"/>
          <w:sz w:val="24"/>
          <w:szCs w:val="24"/>
        </w:rPr>
        <w:t>other ancillary company documents, power of attorneys, partnership or operational agreements, and other bylaws.</w:t>
      </w:r>
    </w:p>
    <w:p w:rsidR="00C21793" w:rsidRPr="007E117F" w:rsidRDefault="00C21793" w:rsidP="00C21793">
      <w:pPr>
        <w:shd w:val="clear" w:color="auto" w:fill="FFFFFF"/>
        <w:spacing w:after="150" w:line="240" w:lineRule="auto"/>
        <w:jc w:val="both"/>
        <w:rPr>
          <w:rFonts w:ascii="Garamond" w:eastAsia="Times New Roman" w:hAnsi="Garamond" w:cs="Arial"/>
          <w:color w:val="000000"/>
          <w:sz w:val="24"/>
          <w:szCs w:val="24"/>
        </w:rPr>
      </w:pPr>
      <w:r w:rsidRPr="007E117F">
        <w:rPr>
          <w:rFonts w:ascii="Garamond" w:eastAsia="Times New Roman" w:hAnsi="Garamond" w:cs="Arial"/>
          <w:color w:val="000000"/>
          <w:sz w:val="24"/>
          <w:szCs w:val="24"/>
        </w:rPr>
        <w:t xml:space="preserve">Apart from the above mentioned corporate general legal services, </w:t>
      </w:r>
      <w:r w:rsidR="003973CC">
        <w:rPr>
          <w:rFonts w:ascii="Garamond" w:eastAsia="Times New Roman" w:hAnsi="Garamond" w:cs="Times New Roman"/>
          <w:color w:val="000000" w:themeColor="text1"/>
          <w:sz w:val="24"/>
          <w:szCs w:val="24"/>
        </w:rPr>
        <w:t>Lex and Fin</w:t>
      </w:r>
      <w:r w:rsidR="003973CC">
        <w:rPr>
          <w:rFonts w:ascii="Times New Roman" w:eastAsia="Times New Roman" w:hAnsi="Times New Roman" w:cs="Times New Roman"/>
          <w:color w:val="000000" w:themeColor="text1"/>
          <w:sz w:val="24"/>
          <w:szCs w:val="24"/>
        </w:rPr>
        <w:t xml:space="preserve"> </w:t>
      </w:r>
      <w:bookmarkStart w:id="0" w:name="_GoBack"/>
      <w:bookmarkEnd w:id="0"/>
      <w:r w:rsidRPr="007E117F">
        <w:rPr>
          <w:rFonts w:ascii="Garamond" w:eastAsia="Times New Roman" w:hAnsi="Garamond" w:cs="Arial"/>
          <w:color w:val="000000"/>
          <w:sz w:val="24"/>
          <w:szCs w:val="24"/>
        </w:rPr>
        <w:t>also provides reduced rates for arbitration and litigation matters to retainer clients who engage our General Counsel Services.</w:t>
      </w:r>
    </w:p>
    <w:p w:rsidR="00F036FB" w:rsidRPr="007E117F" w:rsidRDefault="00F036FB">
      <w:pPr>
        <w:rPr>
          <w:rFonts w:ascii="Garamond" w:hAnsi="Garamond"/>
          <w:sz w:val="24"/>
          <w:szCs w:val="24"/>
        </w:rPr>
      </w:pPr>
    </w:p>
    <w:sectPr w:rsidR="00F036FB" w:rsidRPr="007E1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E2094"/>
    <w:multiLevelType w:val="multilevel"/>
    <w:tmpl w:val="ED8C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733BC"/>
    <w:multiLevelType w:val="multilevel"/>
    <w:tmpl w:val="DA78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66F51"/>
    <w:multiLevelType w:val="multilevel"/>
    <w:tmpl w:val="6B10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BF0010"/>
    <w:multiLevelType w:val="multilevel"/>
    <w:tmpl w:val="1D54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793"/>
    <w:rsid w:val="003973CC"/>
    <w:rsid w:val="007E117F"/>
    <w:rsid w:val="009E52D3"/>
    <w:rsid w:val="00C21793"/>
    <w:rsid w:val="00ED3827"/>
    <w:rsid w:val="00F0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EAD64-4844-4BE1-9CB0-E0CBAA54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17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C2179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1793"/>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2179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217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17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60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hlawatassociates.com/area-of-practice/corporate-commercial-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hlawatassociates.com/area-of-practice/intellectual-property-lawyers/" TargetMode="External"/><Relationship Id="rId5" Type="http://schemas.openxmlformats.org/officeDocument/2006/relationships/hyperlink" Target="https://www.ahlawatassociat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Mustafa Ahmad (Legal Manager)</dc:creator>
  <cp:keywords/>
  <dc:description/>
  <cp:lastModifiedBy>Muhammad Mustafa Ahmad (Legal Manager)</cp:lastModifiedBy>
  <cp:revision>3</cp:revision>
  <dcterms:created xsi:type="dcterms:W3CDTF">2021-06-08T08:21:00Z</dcterms:created>
  <dcterms:modified xsi:type="dcterms:W3CDTF">2021-06-30T06:34:00Z</dcterms:modified>
</cp:coreProperties>
</file>