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Times New Roman" w:cs="Times New Roman" w:eastAsia="Times New Roman" w:hAnsi="Times New Roman"/>
          <w:b/>
          <w:bCs/>
          <w:sz w:val="40"/>
          <w:szCs w:val="40"/>
        </w:rPr>
        <w:t xml:space="preserve">PRT661</w:t>
      </w:r>
    </w:p>
    <w:p>
      <w:pPr>
        <w:spacing w:after="120" w:before="0"/>
        <w:jc w:val="center"/>
      </w:pPr>
      <w:r>
        <w:rPr>
          <w:rFonts w:ascii="Times New Roman" w:cs="Times New Roman" w:eastAsia="Times New Roman" w:hAnsi="Times New Roman"/>
          <w:b/>
          <w:bCs/>
          <w:sz w:val="32"/>
          <w:szCs w:val="32"/>
        </w:rPr>
        <w:t xml:space="preserve">DATA SCIENCE PRACTICE</w:t>
      </w:r>
    </w:p>
    <w:p>
      <w:pPr>
        <w:spacing w:after="80" w:before="200"/>
        <w:jc w:val="center"/>
      </w:pPr>
      <w:r>
        <w:rPr>
          <w:rFonts w:ascii="Times New Roman" w:cs="Times New Roman" w:eastAsia="Times New Roman" w:hAnsi="Times New Roman"/>
          <w:sz w:val="30"/>
          <w:szCs w:val="30"/>
        </w:rPr>
        <w:t xml:space="preserve">Assessment 4 – Final Professional Report (40%)</w:t>
      </w:r>
    </w:p>
    <w:p>
      <w:pPr>
        <w:spacing w:after="500" w:before="0"/>
        <w:jc w:val="center"/>
      </w:pPr>
      <w:r>
        <w:rPr>
          <w:rFonts w:ascii="Times New Roman" w:cs="Times New Roman" w:eastAsia="Times New Roman" w:hAnsi="Times New Roman"/>
          <w:color w:val="1F4E8C"/>
          <w:sz w:val="26"/>
          <w:szCs w:val="26"/>
        </w:rPr>
        <w:t xml:space="preserve">Forecasting NSW Suburb House Prices from Government Sales Data</w:t>
      </w:r>
    </w:p>
    <w:p>
      <w:pPr>
        <w:spacing w:after="200" w:before="0"/>
        <w:jc w:val="center"/>
      </w:pPr>
      <w:r>
        <w:rPr>
          <w:rFonts w:ascii="Times New Roman" w:cs="Times New Roman" w:eastAsia="Times New Roman" w:hAnsi="Times New Roman"/>
          <w:b/>
          <w:bCs/>
          <w:sz w:val="24"/>
          <w:szCs w:val="24"/>
        </w:rPr>
        <w:t xml:space="preserve">Submitted by: Sydn2 – Theme 2</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tblGrid>
      <w:tr>
        <w:trPr>
          <w:cantSplit/>
          <w:tblHeader/>
        </w:trPr>
        <w:tc>
          <w:tcPr>
            <w:tcW w:type="dxa" w:w="36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22"/>
                <w:szCs w:val="22"/>
              </w:rPr>
              <w:t xml:space="preserve">Student Name</w:t>
            </w:r>
          </w:p>
        </w:tc>
        <w:tc>
          <w:tcPr>
            <w:tcW w:type="dxa" w:w="24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22"/>
                <w:szCs w:val="22"/>
              </w:rPr>
              <w:t xml:space="preserve">Student ID</w:t>
            </w:r>
          </w:p>
        </w:tc>
        <w:tc>
          <w:tcPr>
            <w:tcW w:type="dxa" w:w="24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22"/>
                <w:szCs w:val="22"/>
              </w:rPr>
              <w:t xml:space="preserve">Campus</w:t>
            </w:r>
          </w:p>
        </w:tc>
      </w:tr>
      <w:tr>
        <w:trPr>
          <w:cantSplit/>
          <w:tblHeader w:val="false"/>
        </w:trPr>
        <w:tc>
          <w:tcPr>
            <w:tcW w:type="dxa" w:w="36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2"/>
                <w:szCs w:val="22"/>
              </w:rPr>
              <w:t xml:space="preserve">Ahsan Uddin</w:t>
            </w:r>
          </w:p>
        </w:tc>
        <w:tc>
          <w:tcPr>
            <w:tcW w:type="dxa" w:w="24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2"/>
                <w:szCs w:val="22"/>
              </w:rPr>
              <w:t xml:space="preserve">S386288</w:t>
            </w:r>
          </w:p>
        </w:tc>
        <w:tc>
          <w:tcPr>
            <w:tcW w:type="dxa" w:w="24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2"/>
                <w:szCs w:val="22"/>
              </w:rPr>
              <w:t xml:space="preserve">Sydney</w:t>
            </w:r>
          </w:p>
        </w:tc>
      </w:tr>
      <w:tr>
        <w:trPr>
          <w:cantSplit/>
          <w:tblHeader w:val="false"/>
        </w:trPr>
        <w:tc>
          <w:tcPr>
            <w:tcW w:type="dxa" w:w="36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2"/>
                <w:szCs w:val="22"/>
              </w:rPr>
              <w:t xml:space="preserve">Ferdous Anwar Anik</w:t>
            </w:r>
          </w:p>
        </w:tc>
        <w:tc>
          <w:tcPr>
            <w:tcW w:type="dxa" w:w="24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2"/>
                <w:szCs w:val="22"/>
              </w:rPr>
              <w:t xml:space="preserve">S388272</w:t>
            </w:r>
          </w:p>
        </w:tc>
        <w:tc>
          <w:tcPr>
            <w:tcW w:type="dxa" w:w="24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2"/>
                <w:szCs w:val="22"/>
              </w:rPr>
              <w:t xml:space="preserve">Sydney</w:t>
            </w:r>
          </w:p>
        </w:tc>
      </w:tr>
      <w:tr>
        <w:trPr>
          <w:cantSplit/>
          <w:tblHeader w:val="false"/>
        </w:trPr>
        <w:tc>
          <w:tcPr>
            <w:tcW w:type="dxa" w:w="36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2"/>
                <w:szCs w:val="22"/>
              </w:rPr>
              <w:t xml:space="preserve">Abrar Bin Khaiyum</w:t>
            </w:r>
          </w:p>
        </w:tc>
        <w:tc>
          <w:tcPr>
            <w:tcW w:type="dxa" w:w="24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2"/>
                <w:szCs w:val="22"/>
              </w:rPr>
              <w:t xml:space="preserve">S395453</w:t>
            </w:r>
          </w:p>
        </w:tc>
        <w:tc>
          <w:tcPr>
            <w:tcW w:type="dxa" w:w="24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2"/>
                <w:szCs w:val="22"/>
              </w:rPr>
              <w:t xml:space="preserve">Sydney</w:t>
            </w:r>
          </w:p>
        </w:tc>
      </w:tr>
      <w:tr>
        <w:trPr>
          <w:cantSplit/>
          <w:tblHeader w:val="false"/>
        </w:trPr>
        <w:tc>
          <w:tcPr>
            <w:tcW w:type="dxa" w:w="36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2"/>
                <w:szCs w:val="22"/>
              </w:rPr>
              <w:t xml:space="preserve">Mohd Yah Ya Raiyan</w:t>
            </w:r>
          </w:p>
        </w:tc>
        <w:tc>
          <w:tcPr>
            <w:tcW w:type="dxa" w:w="24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2"/>
                <w:szCs w:val="22"/>
              </w:rPr>
              <w:t xml:space="preserve">S390934</w:t>
            </w:r>
          </w:p>
        </w:tc>
        <w:tc>
          <w:tcPr>
            <w:tcW w:type="dxa" w:w="24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2"/>
                <w:szCs w:val="22"/>
              </w:rPr>
              <w:t xml:space="preserve">Sydney</w:t>
            </w:r>
          </w:p>
        </w:tc>
      </w:tr>
    </w:tbl>
    <w:p>
      <w:pPr>
        <w:spacing w:after="80"/>
      </w:pPr>
    </w:p>
    <w:p>
      <w:pPr>
        <w:spacing w:after="60" w:before="300"/>
        <w:jc w:val="center"/>
      </w:pPr>
      <w:r>
        <w:rPr>
          <w:rFonts w:ascii="Times New Roman" w:cs="Times New Roman" w:eastAsia="Times New Roman" w:hAnsi="Times New Roman"/>
          <w:sz w:val="22"/>
          <w:szCs w:val="22"/>
        </w:rPr>
        <w:t xml:space="preserve">Submitted to: Reem Sherif, Lecturer</w:t>
      </w:r>
    </w:p>
    <w:p>
      <w:pPr>
        <w:spacing w:after="60" w:before="0"/>
        <w:jc w:val="center"/>
      </w:pPr>
      <w:r>
        <w:rPr>
          <w:rFonts w:ascii="Times New Roman" w:cs="Times New Roman" w:eastAsia="Times New Roman" w:hAnsi="Times New Roman"/>
          <w:sz w:val="22"/>
          <w:szCs w:val="22"/>
        </w:rPr>
        <w:t xml:space="preserve">Charles Darwin University (Sydney Campus) · Faculty of Science &amp; Technology</w:t>
      </w:r>
    </w:p>
    <w:p>
      <w:pPr>
        <w:spacing w:after="400" w:before="0"/>
        <w:jc w:val="center"/>
      </w:pPr>
      <w:r>
        <w:rPr>
          <w:rFonts w:ascii="Times New Roman" w:cs="Times New Roman" w:eastAsia="Times New Roman" w:hAnsi="Times New Roman"/>
          <w:sz w:val="22"/>
          <w:szCs w:val="22"/>
        </w:rPr>
        <w:t xml:space="preserve">October 2026</w:t>
      </w:r>
    </w:p>
    <w:p>
      <w:pPr>
        <w:spacing w:after="100" w:before="0" w:line="252"/>
        <w:jc w:val="left"/>
      </w:pPr>
      <w:r>
        <w:rPr>
          <w:rFonts w:ascii="Times New Roman" w:cs="Times New Roman" w:eastAsia="Times New Roman" w:hAnsi="Times New Roman"/>
          <w:b/>
          <w:bCs/>
          <w:sz w:val="23"/>
          <w:szCs w:val="23"/>
        </w:rPr>
        <w:t xml:space="preserve">How this document is organised.</w:t>
      </w:r>
      <w:r>
        <w:rPr>
          <w:rFonts w:ascii="Times New Roman" w:cs="Times New Roman" w:eastAsia="Times New Roman" w:hAnsi="Times New Roman"/>
          <w:sz w:val="23"/>
          <w:szCs w:val="23"/>
        </w:rPr>
        <w:t xml:space="preserve"> As required by the Assessment 4 brief, this single PDF shows the whole evolution of the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738"/>
        <w:gridCol w:w="1500"/>
      </w:tblGrid>
      <w:tr>
        <w:trPr>
          <w:cantSplit/>
          <w:tblHeader/>
        </w:trPr>
        <w:tc>
          <w:tcPr>
            <w:tcW w:type="dxa" w:w="14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20"/>
                <w:szCs w:val="20"/>
              </w:rPr>
              <w:t xml:space="preserve">Section</w:t>
            </w:r>
          </w:p>
        </w:tc>
        <w:tc>
          <w:tcPr>
            <w:tcW w:type="dxa" w:w="6738"/>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20"/>
                <w:szCs w:val="20"/>
              </w:rPr>
              <w:t xml:space="preserve">Content</w:t>
            </w:r>
          </w:p>
        </w:tc>
        <w:tc>
          <w:tcPr>
            <w:tcW w:type="dxa" w:w="15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20"/>
                <w:szCs w:val="20"/>
              </w:rPr>
              <w:t xml:space="preserve">Pages</w:t>
            </w:r>
          </w:p>
        </w:tc>
      </w:tr>
      <w:tr>
        <w:trPr>
          <w:cantSplit/>
          <w:tblHeader w:val="false"/>
        </w:trPr>
        <w:tc>
          <w:tcPr>
            <w:tcW w:type="dxa" w:w="14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0"/>
                <w:szCs w:val="20"/>
              </w:rPr>
              <w:t xml:space="preserve">Section 1</w:t>
            </w:r>
          </w:p>
        </w:tc>
        <w:tc>
          <w:tcPr>
            <w:tcW w:type="dxa" w:w="67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0"/>
                <w:szCs w:val="20"/>
              </w:rPr>
              <w:t xml:space="preserve">Complete Assessment 2 submission, unchanged: the Assessment 1 report, the A2 Project Update Summary, A2 Technical Development and the A2 individual pages (with its own table of contents)</w:t>
            </w:r>
          </w:p>
        </w:tc>
        <w:tc>
          <w:tcPr>
            <w:tcW w:type="dxa" w:w="1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0"/>
                <w:szCs w:val="20"/>
              </w:rPr>
              <w:t xml:space="preserve">2–33</w:t>
            </w:r>
          </w:p>
        </w:tc>
      </w:tr>
      <w:tr>
        <w:trPr>
          <w:cantSplit/>
          <w:tblHeader w:val="false"/>
        </w:trPr>
        <w:tc>
          <w:tcPr>
            <w:tcW w:type="dxa" w:w="14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0"/>
                <w:szCs w:val="20"/>
              </w:rPr>
              <w:t xml:space="preserve">Section 2</w:t>
            </w:r>
          </w:p>
        </w:tc>
        <w:tc>
          <w:tcPr>
            <w:tcW w:type="dxa" w:w="67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0"/>
                <w:szCs w:val="20"/>
              </w:rPr>
              <w:t xml:space="preserve">Final Project Update Summary: changes since Assessment 2, team contributions, evidence locations</w:t>
            </w:r>
          </w:p>
        </w:tc>
        <w:tc>
          <w:tcPr>
            <w:tcW w:type="dxa" w:w="15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0"/>
                <w:szCs w:val="20"/>
              </w:rPr>
              <w:t xml:space="preserve">34</w:t>
            </w:r>
          </w:p>
        </w:tc>
      </w:tr>
      <w:tr>
        <w:trPr>
          <w:cantSplit/>
          <w:tblHeader w:val="false"/>
        </w:trPr>
        <w:tc>
          <w:tcPr>
            <w:tcW w:type="dxa" w:w="14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0"/>
                <w:szCs w:val="20"/>
              </w:rPr>
              <w:t xml:space="preserve">Section 3</w:t>
            </w:r>
          </w:p>
        </w:tc>
        <w:tc>
          <w:tcPr>
            <w:tcW w:type="dxa" w:w="67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0"/>
                <w:szCs w:val="20"/>
              </w:rPr>
              <w:t xml:space="preserve">Final Technical Development: the work completed since Assessment 2 (§3.1–3.13 and references)</w:t>
            </w:r>
          </w:p>
        </w:tc>
        <w:tc>
          <w:tcPr>
            <w:tcW w:type="dxa" w:w="1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0"/>
                <w:szCs w:val="20"/>
              </w:rPr>
              <w:t xml:space="preserve">35–50</w:t>
            </w:r>
          </w:p>
        </w:tc>
      </w:tr>
      <w:tr>
        <w:trPr>
          <w:cantSplit/>
          <w:tblHeader w:val="false"/>
        </w:trPr>
        <w:tc>
          <w:tcPr>
            <w:tcW w:type="dxa" w:w="14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0"/>
                <w:szCs w:val="20"/>
              </w:rPr>
              <w:t xml:space="preserve">Section 4</w:t>
            </w:r>
          </w:p>
        </w:tc>
        <w:tc>
          <w:tcPr>
            <w:tcW w:type="dxa" w:w="67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0"/>
                <w:szCs w:val="20"/>
              </w:rPr>
              <w:t xml:space="preserve">Individual Work and Contribution Summary: one page per student</w:t>
            </w:r>
          </w:p>
        </w:tc>
        <w:tc>
          <w:tcPr>
            <w:tcW w:type="dxa" w:w="15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20"/>
                <w:szCs w:val="20"/>
              </w:rPr>
              <w:t xml:space="preserve">51–54</w:t>
            </w:r>
          </w:p>
        </w:tc>
      </w:tr>
    </w:tbl>
    <w:p>
      <w:pPr>
        <w:spacing w:after="80"/>
      </w:pPr>
    </w:p>
    <w:p>
      <w:pPr>
        <w:spacing w:after="100" w:before="0" w:line="252"/>
        <w:jc w:val="left"/>
      </w:pPr>
      <w:r>
        <w:rPr>
          <w:rFonts w:ascii="Times New Roman" w:cs="Times New Roman" w:eastAsia="Times New Roman" w:hAnsi="Times New Roman"/>
          <w:sz w:val="20"/>
          <w:szCs w:val="20"/>
        </w:rPr>
        <w:t xml:space="preserve">Page numbers refer to the page counter of the PDF viewer. Figures and tables added in Assessment 4 are numbered </w:t>
      </w:r>
      <w:r>
        <w:rPr>
          <w:rFonts w:ascii="Times New Roman" w:cs="Times New Roman" w:eastAsia="Times New Roman" w:hAnsi="Times New Roman"/>
          <w:i/>
          <w:iCs/>
          <w:sz w:val="20"/>
          <w:szCs w:val="20"/>
        </w:rPr>
        <w:t xml:space="preserve">A4.n</w:t>
      </w:r>
      <w:r>
        <w:rPr>
          <w:rFonts w:ascii="Times New Roman" w:cs="Times New Roman" w:eastAsia="Times New Roman" w:hAnsi="Times New Roman"/>
          <w:sz w:val="20"/>
          <w:szCs w:val="20"/>
        </w:rPr>
        <w:t xml:space="preserve"> to keep them distinct from the A2 numbering.</w:t>
      </w:r>
    </w:p>
    <w:p>
      <w:pPr>
        <w:sectPr>
          <w:pgSz w:w="11906" w:h="16838" w:orient="portrait"/>
          <w:pgMar w:top="1134" w:right="1134" w:bottom="1134" w:left="1134" w:header="708" w:footer="708" w:gutter="0"/>
          <w:pgNumType/>
          <w:docGrid w:linePitch="360"/>
        </w:sectPr>
      </w:pPr>
    </w:p>
    <w:p>
      <w:pPr>
        <w:pStyle w:val="Heading1"/>
        <w:spacing w:after="120" w:before="120"/>
      </w:pPr>
      <w:r>
        <w:rPr>
          <w:rFonts w:ascii="Times New Roman" w:cs="Times New Roman" w:eastAsia="Times New Roman" w:hAnsi="Times New Roman"/>
        </w:rPr>
        <w:t xml:space="preserve">Section 2 – Final Project Update Summary</w:t>
      </w:r>
    </w:p>
    <w:p>
      <w:pPr>
        <w:spacing w:after="60" w:before="0" w:line="252"/>
        <w:jc w:val="both"/>
      </w:pPr>
      <w:r>
        <w:rPr>
          <w:rFonts w:ascii="Times New Roman" w:cs="Times New Roman" w:eastAsia="Times New Roman" w:hAnsi="Times New Roman"/>
          <w:sz w:val="21"/>
          <w:szCs w:val="21"/>
        </w:rPr>
        <w:t xml:space="preserve">Since A2 the project has gone from a working prototype to a reproducible, tested and deployable forecasting system, and its headline accuracy now rests on a fair, like-for-like evaluation.</w:t>
      </w:r>
    </w:p>
    <w:p>
      <w:pPr>
        <w:pStyle w:val="Heading3"/>
        <w:keepNext/>
        <w:spacing w:after="60" w:before="140"/>
      </w:pPr>
      <w:r>
        <w:rPr>
          <w:rFonts w:ascii="Times New Roman" w:cs="Times New Roman" w:eastAsia="Times New Roman" w:hAnsi="Times New Roman"/>
        </w:rPr>
        <w:t xml:space="preserve">2.1 Changes Since Assessment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350"/>
        <w:gridCol w:w="3600"/>
        <w:gridCol w:w="2388"/>
      </w:tblGrid>
      <w:tr>
        <w:trPr>
          <w:cantSplit/>
          <w:tblHeader/>
        </w:trPr>
        <w:tc>
          <w:tcPr>
            <w:tcW w:type="dxa" w:w="13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6"/>
                <w:szCs w:val="16"/>
              </w:rPr>
              <w:t xml:space="preserve">Area</w:t>
            </w:r>
          </w:p>
        </w:tc>
        <w:tc>
          <w:tcPr>
            <w:tcW w:type="dxa" w:w="235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6"/>
                <w:szCs w:val="16"/>
              </w:rPr>
              <w:t xml:space="preserve">Previous state (A2)</w:t>
            </w:r>
          </w:p>
        </w:tc>
        <w:tc>
          <w:tcPr>
            <w:tcW w:type="dxa" w:w="36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6"/>
                <w:szCs w:val="16"/>
              </w:rPr>
              <w:t xml:space="preserve">Current state (A4)</w:t>
            </w:r>
          </w:p>
        </w:tc>
        <w:tc>
          <w:tcPr>
            <w:tcW w:type="dxa" w:w="2388"/>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6"/>
                <w:szCs w:val="16"/>
              </w:rPr>
              <w:t xml:space="preserve">Justification</w:t>
            </w:r>
          </w:p>
        </w:tc>
      </w:tr>
      <w:tr>
        <w:trPr>
          <w:cantSplit/>
          <w:tblHeader w:val="false"/>
        </w:trPr>
        <w:tc>
          <w:tcPr>
            <w:tcW w:type="dxa" w:w="1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Reproducibility</w:t>
            </w:r>
          </w:p>
        </w:tc>
        <w:tc>
          <w:tcPr>
            <w:tcW w:type="dxa" w:w="23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Notebooks + outputs; cleaning code missing from repo</w:t>
            </w:r>
          </w:p>
        </w:tc>
        <w:tc>
          <w:tcPr>
            <w:tcW w:type="dxa" w:w="36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Consolas" w:cs="Consolas" w:eastAsia="Consolas" w:hAnsi="Consolas"/>
                <w:color w:val="333333"/>
                <w:sz w:val="13"/>
                <w:szCs w:val="13"/>
              </w:rPr>
              <w:t xml:space="preserve">src/prt661</w:t>
            </w:r>
            <w:r>
              <w:rPr>
                <w:rFonts w:ascii="Times New Roman" w:cs="Times New Roman" w:eastAsia="Times New Roman" w:hAnsi="Times New Roman"/>
                <w:sz w:val="16"/>
                <w:szCs w:val="16"/>
              </w:rPr>
              <w:t xml:space="preserve"> package; </w:t>
            </w:r>
            <w:r>
              <w:rPr>
                <w:rFonts w:ascii="Consolas" w:cs="Consolas" w:eastAsia="Consolas" w:hAnsi="Consolas"/>
                <w:color w:val="333333"/>
                <w:sz w:val="13"/>
                <w:szCs w:val="13"/>
              </w:rPr>
              <w:t xml:space="preserve">make all</w:t>
            </w:r>
            <w:r>
              <w:rPr>
                <w:rFonts w:ascii="Times New Roman" w:cs="Times New Roman" w:eastAsia="Times New Roman" w:hAnsi="Times New Roman"/>
                <w:sz w:val="16"/>
                <w:szCs w:val="16"/>
              </w:rPr>
              <w:t xml:space="preserve"> rebuilds everything from raw zips; A2 counts reproduced</w:t>
            </w:r>
          </w:p>
        </w:tc>
        <w:tc>
          <w:tcPr>
            <w:tcW w:type="dxa" w:w="238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Audit found the repo could not regenerate its own data</w:t>
            </w:r>
          </w:p>
        </w:tc>
      </w:tr>
      <w:tr>
        <w:trPr>
          <w:cantSplit/>
          <w:tblHeader w:val="false"/>
        </w:trPr>
        <w:tc>
          <w:tcPr>
            <w:tcW w:type="dxa" w:w="1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Data engineering</w:t>
            </w:r>
          </w:p>
        </w:tc>
        <w:tc>
          <w:tcPr>
            <w:tcW w:type="dxa" w:w="23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QoQ targets spanned gaps (9.5%); ABS used same-quarter</w:t>
            </w:r>
          </w:p>
        </w:tc>
        <w:tc>
          <w:tcPr>
            <w:tcW w:type="dxa" w:w="36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Complete suburb×quarter grid; ABS lagged 1 qtr; 24 features incl. composition</w:t>
            </w:r>
          </w:p>
        </w:tc>
        <w:tc>
          <w:tcPr>
            <w:tcW w:type="dxa" w:w="238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Remove mislabelled targets and look-ahead</w:t>
            </w:r>
          </w:p>
        </w:tc>
      </w:tr>
      <w:tr>
        <w:trPr>
          <w:cantSplit/>
          <w:tblHeader w:val="false"/>
        </w:trPr>
        <w:tc>
          <w:tcPr>
            <w:tcW w:type="dxa" w:w="1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Database</w:t>
            </w:r>
          </w:p>
        </w:tc>
        <w:tc>
          <w:tcPr>
            <w:tcW w:type="dxa" w:w="23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raw_sales / suburb_dim empty in dump; shared login</w:t>
            </w:r>
          </w:p>
        </w:tc>
        <w:tc>
          <w:tcPr>
            <w:tcW w:type="dxa" w:w="36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Repopulated (2,762,903 raw rows); 4 new tables; per-member least-privilege roles</w:t>
            </w:r>
          </w:p>
        </w:tc>
        <w:tc>
          <w:tcPr>
            <w:tcW w:type="dxa" w:w="238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Lineage and A2 governance gap</w:t>
            </w:r>
          </w:p>
        </w:tc>
      </w:tr>
      <w:tr>
        <w:trPr>
          <w:cantSplit/>
          <w:tblHeader w:val="false"/>
        </w:trPr>
        <w:tc>
          <w:tcPr>
            <w:tcW w:type="dxa" w:w="1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Machine learning</w:t>
            </w:r>
          </w:p>
        </w:tc>
        <w:tc>
          <w:tcPr>
            <w:tcW w:type="dxa" w:w="23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1 tuned-by-hand GB; models compared on different samples</w:t>
            </w:r>
          </w:p>
        </w:tc>
        <w:tc>
          <w:tcPr>
            <w:tcW w:type="dxa" w:w="36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12 models on identical cells; tuned on a separate validation window; LightGBM champion (MAE 8.36 pp)</w:t>
            </w:r>
          </w:p>
        </w:tc>
        <w:tc>
          <w:tcPr>
            <w:tcW w:type="dxa" w:w="238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Fair comparison; A2 next step</w:t>
            </w:r>
          </w:p>
        </w:tc>
      </w:tr>
      <w:tr>
        <w:trPr>
          <w:cantSplit/>
          <w:tblHeader w:val="false"/>
        </w:trPr>
        <w:tc>
          <w:tcPr>
            <w:tcW w:type="dxa" w:w="1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Uncertainty</w:t>
            </w:r>
          </w:p>
        </w:tc>
        <w:tc>
          <w:tcPr>
            <w:tcW w:type="dxa" w:w="23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Ad-hoc ±12 pp cap and decay</w:t>
            </w:r>
          </w:p>
        </w:tc>
        <w:tc>
          <w:tcPr>
            <w:tcW w:type="dxa" w:w="36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Conformalised P10–P90 bands, 80.4–81.3% coverage vs 80% target</w:t>
            </w:r>
          </w:p>
        </w:tc>
        <w:tc>
          <w:tcPr>
            <w:tcW w:type="dxa" w:w="238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Promised in A2 §3.1; replaces heuristics</w:t>
            </w:r>
          </w:p>
        </w:tc>
      </w:tr>
      <w:tr>
        <w:trPr>
          <w:cantSplit/>
          <w:tblHeader w:val="false"/>
        </w:trPr>
        <w:tc>
          <w:tcPr>
            <w:tcW w:type="dxa" w:w="1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Evaluation</w:t>
            </w:r>
          </w:p>
        </w:tc>
        <w:tc>
          <w:tcPr>
            <w:tcW w:type="dxa" w:w="23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RMSE/MAE only</w:t>
            </w:r>
          </w:p>
        </w:tc>
        <w:tc>
          <w:tcPr>
            <w:tcW w:type="dxa" w:w="36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 R², directional accuracy, Diebold–Mariano tests, segment &amp; liquidity analysis, SHAP</w:t>
            </w:r>
          </w:p>
        </w:tc>
        <w:tc>
          <w:tcPr>
            <w:tcW w:type="dxa" w:w="238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Show where and why the model works</w:t>
            </w:r>
          </w:p>
        </w:tc>
      </w:tr>
      <w:tr>
        <w:trPr>
          <w:cantSplit/>
          <w:tblHeader w:val="false"/>
        </w:trPr>
        <w:tc>
          <w:tcPr>
            <w:tcW w:type="dxa" w:w="1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Deployment</w:t>
            </w:r>
          </w:p>
        </w:tc>
        <w:tc>
          <w:tcPr>
            <w:tcW w:type="dxa" w:w="23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Local Streamlit MVP</w:t>
            </w:r>
          </w:p>
        </w:tc>
        <w:tc>
          <w:tcPr>
            <w:tcW w:type="dxa" w:w="36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App v4 (bands, reliability), Docker, CI, weekly scheduled refresh</w:t>
            </w:r>
          </w:p>
        </w:tc>
        <w:tc>
          <w:tcPr>
            <w:tcW w:type="dxa" w:w="238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A2 §3.16 next steps</w:t>
            </w:r>
          </w:p>
        </w:tc>
      </w:tr>
      <w:tr>
        <w:trPr>
          <w:cantSplit/>
          <w:tblHeader w:val="false"/>
        </w:trPr>
        <w:tc>
          <w:tcPr>
            <w:tcW w:type="dxa" w:w="1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Governance</w:t>
            </w:r>
          </w:p>
        </w:tc>
        <w:tc>
          <w:tcPr>
            <w:tcW w:type="dxa" w:w="23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CHANGELOG, Jira</w:t>
            </w:r>
          </w:p>
        </w:tc>
        <w:tc>
          <w:tcPr>
            <w:tcW w:type="dxa" w:w="36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Model registry with artefact hashes, model card, privacy view, security matrix</w:t>
            </w:r>
          </w:p>
        </w:tc>
        <w:tc>
          <w:tcPr>
            <w:tcW w:type="dxa" w:w="238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6"/>
                <w:szCs w:val="16"/>
              </w:rPr>
              <w:t xml:space="preserve">Traceability and privacy by design</w:t>
            </w:r>
          </w:p>
        </w:tc>
      </w:tr>
    </w:tbl>
    <w:p>
      <w:pPr>
        <w:spacing w:after="80"/>
      </w:pPr>
    </w:p>
    <w:p>
      <w:pPr>
        <w:pStyle w:val="Heading3"/>
        <w:keepNext/>
        <w:spacing w:after="60" w:before="140"/>
      </w:pPr>
      <w:r>
        <w:rPr>
          <w:rFonts w:ascii="Times New Roman" w:cs="Times New Roman" w:eastAsia="Times New Roman" w:hAnsi="Times New Roman"/>
        </w:rPr>
        <w:t xml:space="preserve">2.2 Team Contribution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7"/>
                <w:szCs w:val="17"/>
              </w:rPr>
              <w:t xml:space="preserve">Team member</w:t>
            </w:r>
          </w:p>
        </w:tc>
        <w:tc>
          <w:tcPr>
            <w:tcW w:type="dxa" w:w="7538"/>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7"/>
                <w:szCs w:val="17"/>
              </w:rPr>
              <w:t xml:space="preserve">Major contributions since Assessment 2</w:t>
            </w:r>
          </w:p>
        </w:tc>
      </w:tr>
      <w:tr>
        <w:trPr>
          <w:cantSplit/>
          <w:tblHeader w:val="false"/>
        </w:trPr>
        <w:tc>
          <w:tcPr>
            <w:tcW w:type="dxa" w:w="2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Ahsan Uddin</w:t>
            </w:r>
          </w:p>
        </w:tc>
        <w:tc>
          <w:tcPr>
            <w:tcW w:type="dxa" w:w="75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Project coordination and Jira; acquisition module and weekly scheduled-refresh workflow; repository restructure and CI workflow; requirements fix</w:t>
            </w:r>
          </w:p>
        </w:tc>
      </w:tr>
      <w:tr>
        <w:trPr>
          <w:cantSplit/>
          <w:tblHeader w:val="false"/>
        </w:trPr>
        <w:tc>
          <w:tcPr>
            <w:tcW w:type="dxa" w:w="2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Ferdous Anwar Anik</w:t>
            </w:r>
          </w:p>
        </w:tc>
        <w:tc>
          <w:tcPr>
            <w:tcW w:type="dxa" w:w="75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Sprint 9 audit; raw-archive parser and corrected cleaning module (A2 reproduction); PostgreSQL schema v2, COPY loader, audit log and least-privilege roles; feature store v2 and look-ahead tests</w:t>
            </w:r>
          </w:p>
        </w:tc>
      </w:tr>
      <w:tr>
        <w:trPr>
          <w:cantSplit/>
          <w:tblHeader w:val="false"/>
        </w:trPr>
        <w:tc>
          <w:tcPr>
            <w:tcW w:type="dxa" w:w="2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Mohd Yah Ya Raiyan</w:t>
            </w:r>
          </w:p>
        </w:tc>
        <w:tc>
          <w:tcPr>
            <w:tcW w:type="dxa" w:w="75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Hyper-parameter tuning; common-window back-test of 12 models; SARIMA/Prophet re-run; CQR uncertainty; Diebold–Mariano, liquidity and SHAP analysis</w:t>
            </w:r>
          </w:p>
        </w:tc>
      </w:tr>
      <w:tr>
        <w:trPr>
          <w:cantSplit/>
          <w:tblHeader w:val="false"/>
        </w:trPr>
        <w:tc>
          <w:tcPr>
            <w:tcW w:type="dxa" w:w="2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Abrar Bin Khaiyum</w:t>
            </w:r>
          </w:p>
        </w:tc>
        <w:tc>
          <w:tcPr>
            <w:tcW w:type="dxa" w:w="75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Web app v4 and app-data publishing step; Dockerfile and Streamlit Cloud configuration; model card and documentation; report consolidation</w:t>
            </w:r>
          </w:p>
        </w:tc>
      </w:tr>
    </w:tbl>
    <w:p>
      <w:pPr>
        <w:spacing w:after="80"/>
      </w:pPr>
    </w:p>
    <w:p>
      <w:pPr>
        <w:pStyle w:val="Heading3"/>
        <w:keepNext/>
        <w:spacing w:after="60" w:before="140"/>
      </w:pPr>
      <w:r>
        <w:rPr>
          <w:rFonts w:ascii="Times New Roman" w:cs="Times New Roman" w:eastAsia="Times New Roman" w:hAnsi="Times New Roman"/>
        </w:rPr>
        <w:t xml:space="preserve">2.3 Evidence Locations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7"/>
                <w:szCs w:val="17"/>
              </w:rPr>
              <w:t xml:space="preserve">Evidence</w:t>
            </w:r>
          </w:p>
        </w:tc>
        <w:tc>
          <w:tcPr>
            <w:tcW w:type="dxa" w:w="6638"/>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7"/>
                <w:szCs w:val="17"/>
              </w:rPr>
              <w:t xml:space="preserve">Repository location</w:t>
            </w:r>
          </w:p>
        </w:tc>
      </w:tr>
      <w:tr>
        <w:trPr>
          <w:cantSplit/>
          <w:tblHeader w:val="false"/>
        </w:trPr>
        <w:tc>
          <w:tcPr>
            <w:tcW w:type="dxa" w:w="3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Source code, tests, CI/CD</w:t>
            </w:r>
          </w:p>
        </w:tc>
        <w:tc>
          <w:tcPr>
            <w:tcW w:type="dxa" w:w="66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hyperlink w:history="1" r:id="rIddq0d_z0mbfhuhzmnqnzdp">
              <w:r>
                <w:rPr>
                  <w:rStyle w:val="Hyperlink"/>
                  <w:rFonts w:ascii="Times New Roman" w:cs="Times New Roman" w:eastAsia="Times New Roman" w:hAnsi="Times New Roman"/>
                  <w:color w:val="1155CC"/>
                  <w:sz w:val="17"/>
                  <w:szCs w:val="17"/>
                  <w:u w:val="single"/>
                </w:rPr>
                <w:t xml:space="preserve">GitHub repository</w:t>
              </w:r>
            </w:hyperlink>
            <w:r>
              <w:rPr>
                <w:rFonts w:ascii="Times New Roman" w:cs="Times New Roman" w:eastAsia="Times New Roman" w:hAnsi="Times New Roman"/>
                <w:sz w:val="17"/>
                <w:szCs w:val="17"/>
              </w:rPr>
              <w:t xml:space="preserve"> → </w:t>
            </w:r>
            <w:r>
              <w:rPr>
                <w:rFonts w:ascii="Consolas" w:cs="Consolas" w:eastAsia="Consolas" w:hAnsi="Consolas"/>
                <w:color w:val="333333"/>
                <w:sz w:val="14"/>
                <w:szCs w:val="14"/>
              </w:rPr>
              <w:t xml:space="preserve">src/prt661/</w:t>
            </w:r>
            <w:r>
              <w:rPr>
                <w:rFonts w:ascii="Times New Roman" w:cs="Times New Roman" w:eastAsia="Times New Roman" w:hAnsi="Times New Roman"/>
                <w:sz w:val="17"/>
                <w:szCs w:val="17"/>
              </w:rPr>
              <w:t xml:space="preserve">, </w:t>
            </w:r>
            <w:r>
              <w:rPr>
                <w:rFonts w:ascii="Consolas" w:cs="Consolas" w:eastAsia="Consolas" w:hAnsi="Consolas"/>
                <w:color w:val="333333"/>
                <w:sz w:val="14"/>
                <w:szCs w:val="14"/>
              </w:rPr>
              <w:t xml:space="preserve">tests/</w:t>
            </w:r>
            <w:r>
              <w:rPr>
                <w:rFonts w:ascii="Times New Roman" w:cs="Times New Roman" w:eastAsia="Times New Roman" w:hAnsi="Times New Roman"/>
                <w:sz w:val="17"/>
                <w:szCs w:val="17"/>
              </w:rPr>
              <w:t xml:space="preserve">, </w:t>
            </w:r>
            <w:r>
              <w:rPr>
                <w:rFonts w:ascii="Consolas" w:cs="Consolas" w:eastAsia="Consolas" w:hAnsi="Consolas"/>
                <w:color w:val="333333"/>
                <w:sz w:val="14"/>
                <w:szCs w:val="14"/>
              </w:rPr>
              <w:t xml:space="preserve">.github/workflows/</w:t>
            </w:r>
          </w:p>
        </w:tc>
      </w:tr>
      <w:tr>
        <w:trPr>
          <w:cantSplit/>
          <w:tblHeader w:val="false"/>
        </w:trPr>
        <w:tc>
          <w:tcPr>
            <w:tcW w:type="dxa" w:w="3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Sprint backlog and task ownership</w:t>
            </w:r>
          </w:p>
        </w:tc>
        <w:tc>
          <w:tcPr>
            <w:tcW w:type="dxa" w:w="66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hyperlink w:history="1" r:id="rIdf2hqaa2dtbzzmh9pmucix">
              <w:r>
                <w:rPr>
                  <w:rStyle w:val="Hyperlink"/>
                  <w:rFonts w:ascii="Times New Roman" w:cs="Times New Roman" w:eastAsia="Times New Roman" w:hAnsi="Times New Roman"/>
                  <w:color w:val="1155CC"/>
                  <w:sz w:val="17"/>
                  <w:szCs w:val="17"/>
                  <w:u w:val="single"/>
                </w:rPr>
                <w:t xml:space="preserve">Jira board KAN</w:t>
              </w:r>
            </w:hyperlink>
            <w:r>
              <w:rPr>
                <w:rFonts w:ascii="Times New Roman" w:cs="Times New Roman" w:eastAsia="Times New Roman" w:hAnsi="Times New Roman"/>
                <w:sz w:val="17"/>
                <w:szCs w:val="17"/>
              </w:rPr>
              <w:t xml:space="preserve"> — Sprint 9 and 10 epics</w:t>
            </w:r>
          </w:p>
        </w:tc>
      </w:tr>
      <w:tr>
        <w:trPr>
          <w:cantSplit/>
          <w:tblHeader w:val="false"/>
        </w:trPr>
        <w:tc>
          <w:tcPr>
            <w:tcW w:type="dxa" w:w="3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Database schema, roles</w:t>
            </w:r>
          </w:p>
        </w:tc>
        <w:tc>
          <w:tcPr>
            <w:tcW w:type="dxa" w:w="66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Consolas" w:cs="Consolas" w:eastAsia="Consolas" w:hAnsi="Consolas"/>
                <w:color w:val="333333"/>
                <w:sz w:val="14"/>
                <w:szCs w:val="14"/>
              </w:rPr>
              <w:t xml:space="preserve">database/schema_v2.sql</w:t>
            </w:r>
            <w:r>
              <w:rPr>
                <w:rFonts w:ascii="Times New Roman" w:cs="Times New Roman" w:eastAsia="Times New Roman" w:hAnsi="Times New Roman"/>
                <w:sz w:val="17"/>
                <w:szCs w:val="17"/>
              </w:rPr>
              <w:t xml:space="preserve">, </w:t>
            </w:r>
            <w:r>
              <w:rPr>
                <w:rFonts w:ascii="Consolas" w:cs="Consolas" w:eastAsia="Consolas" w:hAnsi="Consolas"/>
                <w:color w:val="333333"/>
                <w:sz w:val="14"/>
                <w:szCs w:val="14"/>
              </w:rPr>
              <w:t xml:space="preserve">database/create_member_logins.sql</w:t>
            </w:r>
          </w:p>
        </w:tc>
      </w:tr>
      <w:tr>
        <w:trPr>
          <w:cantSplit/>
          <w:tblHeader w:val="false"/>
        </w:trPr>
        <w:tc>
          <w:tcPr>
            <w:tcW w:type="dxa" w:w="3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Results tables and figures</w:t>
            </w:r>
          </w:p>
        </w:tc>
        <w:tc>
          <w:tcPr>
            <w:tcW w:type="dxa" w:w="66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Consolas" w:cs="Consolas" w:eastAsia="Consolas" w:hAnsi="Consolas"/>
                <w:color w:val="333333"/>
                <w:sz w:val="14"/>
                <w:szCs w:val="14"/>
              </w:rPr>
              <w:t xml:space="preserve">reports/tables/</w:t>
            </w:r>
            <w:r>
              <w:rPr>
                <w:rFonts w:ascii="Times New Roman" w:cs="Times New Roman" w:eastAsia="Times New Roman" w:hAnsi="Times New Roman"/>
                <w:sz w:val="17"/>
                <w:szCs w:val="17"/>
              </w:rPr>
              <w:t xml:space="preserve">, </w:t>
            </w:r>
            <w:r>
              <w:rPr>
                <w:rFonts w:ascii="Consolas" w:cs="Consolas" w:eastAsia="Consolas" w:hAnsi="Consolas"/>
                <w:color w:val="333333"/>
                <w:sz w:val="14"/>
                <w:szCs w:val="14"/>
              </w:rPr>
              <w:t xml:space="preserve">reports/figures/</w:t>
            </w:r>
            <w:r>
              <w:rPr>
                <w:rFonts w:ascii="Times New Roman" w:cs="Times New Roman" w:eastAsia="Times New Roman" w:hAnsi="Times New Roman"/>
                <w:sz w:val="17"/>
                <w:szCs w:val="17"/>
              </w:rPr>
              <w:t xml:space="preserve"> (regenerated by </w:t>
            </w:r>
            <w:r>
              <w:rPr>
                <w:rFonts w:ascii="Consolas" w:cs="Consolas" w:eastAsia="Consolas" w:hAnsi="Consolas"/>
                <w:color w:val="333333"/>
                <w:sz w:val="14"/>
                <w:szCs w:val="14"/>
              </w:rPr>
              <w:t xml:space="preserve">scripts/make_report_assets.py</w:t>
            </w:r>
            <w:r>
              <w:rPr>
                <w:rFonts w:ascii="Times New Roman" w:cs="Times New Roman" w:eastAsia="Times New Roman" w:hAnsi="Times New Roman"/>
                <w:sz w:val="17"/>
                <w:szCs w:val="17"/>
              </w:rPr>
              <w:t xml:space="preserve">)</w:t>
            </w:r>
          </w:p>
        </w:tc>
      </w:tr>
      <w:tr>
        <w:trPr>
          <w:cantSplit/>
          <w:tblHeader w:val="false"/>
        </w:trPr>
        <w:tc>
          <w:tcPr>
            <w:tcW w:type="dxa" w:w="3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Models and registry</w:t>
            </w:r>
          </w:p>
        </w:tc>
        <w:tc>
          <w:tcPr>
            <w:tcW w:type="dxa" w:w="66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Consolas" w:cs="Consolas" w:eastAsia="Consolas" w:hAnsi="Consolas"/>
                <w:color w:val="333333"/>
                <w:sz w:val="14"/>
                <w:szCs w:val="14"/>
              </w:rPr>
              <w:t xml:space="preserve">models/*.joblib</w:t>
            </w:r>
            <w:r>
              <w:rPr>
                <w:rFonts w:ascii="Times New Roman" w:cs="Times New Roman" w:eastAsia="Times New Roman" w:hAnsi="Times New Roman"/>
                <w:sz w:val="17"/>
                <w:szCs w:val="17"/>
              </w:rPr>
              <w:t xml:space="preserve">, </w:t>
            </w:r>
            <w:r>
              <w:rPr>
                <w:rFonts w:ascii="Consolas" w:cs="Consolas" w:eastAsia="Consolas" w:hAnsi="Consolas"/>
                <w:color w:val="333333"/>
                <w:sz w:val="14"/>
                <w:szCs w:val="14"/>
              </w:rPr>
              <w:t xml:space="preserve">models/model_registry.json</w:t>
            </w:r>
            <w:r>
              <w:rPr>
                <w:rFonts w:ascii="Times New Roman" w:cs="Times New Roman" w:eastAsia="Times New Roman" w:hAnsi="Times New Roman"/>
                <w:sz w:val="17"/>
                <w:szCs w:val="17"/>
              </w:rPr>
              <w:t xml:space="preserve">, DB table </w:t>
            </w:r>
            <w:r>
              <w:rPr>
                <w:rFonts w:ascii="Consolas" w:cs="Consolas" w:eastAsia="Consolas" w:hAnsi="Consolas"/>
                <w:color w:val="333333"/>
                <w:sz w:val="14"/>
                <w:szCs w:val="14"/>
              </w:rPr>
              <w:t xml:space="preserve">model_registry</w:t>
            </w:r>
          </w:p>
        </w:tc>
      </w:tr>
      <w:tr>
        <w:trPr>
          <w:cantSplit/>
          <w:tblHeader w:val="false"/>
        </w:trPr>
        <w:tc>
          <w:tcPr>
            <w:tcW w:type="dxa" w:w="3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Deployment artefacts</w:t>
            </w:r>
          </w:p>
        </w:tc>
        <w:tc>
          <w:tcPr>
            <w:tcW w:type="dxa" w:w="66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Consolas" w:cs="Consolas" w:eastAsia="Consolas" w:hAnsi="Consolas"/>
                <w:color w:val="333333"/>
                <w:sz w:val="14"/>
                <w:szCs w:val="14"/>
              </w:rPr>
              <w:t xml:space="preserve">app/</w:t>
            </w:r>
            <w:r>
              <w:rPr>
                <w:rFonts w:ascii="Times New Roman" w:cs="Times New Roman" w:eastAsia="Times New Roman" w:hAnsi="Times New Roman"/>
                <w:sz w:val="17"/>
                <w:szCs w:val="17"/>
              </w:rPr>
              <w:t xml:space="preserve">, </w:t>
            </w:r>
            <w:r>
              <w:rPr>
                <w:rFonts w:ascii="Consolas" w:cs="Consolas" w:eastAsia="Consolas" w:hAnsi="Consolas"/>
                <w:color w:val="333333"/>
                <w:sz w:val="14"/>
                <w:szCs w:val="14"/>
              </w:rPr>
              <w:t xml:space="preserve">Dockerfile</w:t>
            </w:r>
            <w:r>
              <w:rPr>
                <w:rFonts w:ascii="Times New Roman" w:cs="Times New Roman" w:eastAsia="Times New Roman" w:hAnsi="Times New Roman"/>
                <w:sz w:val="17"/>
                <w:szCs w:val="17"/>
              </w:rPr>
              <w:t xml:space="preserve">, </w:t>
            </w:r>
            <w:r>
              <w:rPr>
                <w:rFonts w:ascii="Consolas" w:cs="Consolas" w:eastAsia="Consolas" w:hAnsi="Consolas"/>
                <w:color w:val="333333"/>
                <w:sz w:val="14"/>
                <w:szCs w:val="14"/>
              </w:rPr>
              <w:t xml:space="preserve">requirements-app.txt</w:t>
            </w:r>
          </w:p>
        </w:tc>
      </w:tr>
      <w:tr>
        <w:trPr>
          <w:cantSplit/>
          <w:tblHeader w:val="false"/>
        </w:trPr>
        <w:tc>
          <w:tcPr>
            <w:tcW w:type="dxa" w:w="3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Documentation</w:t>
            </w:r>
          </w:p>
        </w:tc>
        <w:tc>
          <w:tcPr>
            <w:tcW w:type="dxa" w:w="66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Consolas" w:cs="Consolas" w:eastAsia="Consolas" w:hAnsi="Consolas"/>
                <w:color w:val="333333"/>
                <w:sz w:val="14"/>
                <w:szCs w:val="14"/>
              </w:rPr>
              <w:t xml:space="preserve">README.md</w:t>
            </w:r>
            <w:r>
              <w:rPr>
                <w:rFonts w:ascii="Times New Roman" w:cs="Times New Roman" w:eastAsia="Times New Roman" w:hAnsi="Times New Roman"/>
                <w:sz w:val="17"/>
                <w:szCs w:val="17"/>
              </w:rPr>
              <w:t xml:space="preserve">, </w:t>
            </w:r>
            <w:r>
              <w:rPr>
                <w:rFonts w:ascii="Consolas" w:cs="Consolas" w:eastAsia="Consolas" w:hAnsi="Consolas"/>
                <w:color w:val="333333"/>
                <w:sz w:val="14"/>
                <w:szCs w:val="14"/>
              </w:rPr>
              <w:t xml:space="preserve">docs/</w:t>
            </w:r>
            <w:r>
              <w:rPr>
                <w:rFonts w:ascii="Times New Roman" w:cs="Times New Roman" w:eastAsia="Times New Roman" w:hAnsi="Times New Roman"/>
                <w:sz w:val="17"/>
                <w:szCs w:val="17"/>
              </w:rPr>
              <w:t xml:space="preserve"> (CHANGELOG, MODEL_CARD, DATA_SOURCES, SECURITY_AND_PRIVACY, DEPLOYMENT)</w:t>
            </w:r>
          </w:p>
        </w:tc>
      </w:tr>
    </w:tbl>
    <w:p>
      <w:pPr>
        <w:spacing w:after="80"/>
      </w:pPr>
    </w:p>
    <w:p>
      <w:pPr>
        <w:pStyle w:val="Heading1"/>
        <w:pageBreakBefore/>
        <w:spacing w:after="120" w:before="120"/>
      </w:pPr>
      <w:r>
        <w:rPr>
          <w:rFonts w:ascii="Times New Roman" w:cs="Times New Roman" w:eastAsia="Times New Roman" w:hAnsi="Times New Roman"/>
        </w:rPr>
        <w:t xml:space="preserve">Section 3 – Final Technical Development</w:t>
      </w:r>
    </w:p>
    <w:p>
      <w:pPr>
        <w:spacing w:after="100" w:before="0" w:line="252"/>
        <w:jc w:val="both"/>
      </w:pPr>
      <w:r>
        <w:rPr>
          <w:rFonts w:ascii="Times New Roman" w:cs="Times New Roman" w:eastAsia="Times New Roman" w:hAnsi="Times New Roman"/>
          <w:sz w:val="23"/>
          <w:szCs w:val="23"/>
        </w:rPr>
        <w:t xml:space="preserve">This section documents the work completed between the Assessment 2 submission (12 September 2026) and this final report. It follows directly from the </w:t>
      </w:r>
      <w:r>
        <w:rPr>
          <w:rFonts w:ascii="Times New Roman" w:cs="Times New Roman" w:eastAsia="Times New Roman" w:hAnsi="Times New Roman"/>
          <w:i/>
          <w:iCs/>
          <w:sz w:val="23"/>
          <w:szCs w:val="23"/>
        </w:rPr>
        <w:t xml:space="preserve">Next Steps</w:t>
      </w:r>
      <w:r>
        <w:rPr>
          <w:rFonts w:ascii="Times New Roman" w:cs="Times New Roman" w:eastAsia="Times New Roman" w:hAnsi="Times New Roman"/>
          <w:sz w:val="23"/>
          <w:szCs w:val="23"/>
        </w:rPr>
        <w:t xml:space="preserve"> list in A2 §3.16, and every number below was produced by code in the project repository. All of it is reproducible with a single command (</w:t>
      </w:r>
      <w:r>
        <w:rPr>
          <w:rFonts w:ascii="Consolas" w:cs="Consolas" w:eastAsia="Consolas" w:hAnsi="Consolas"/>
          <w:color w:val="333333"/>
          <w:sz w:val="20"/>
          <w:szCs w:val="20"/>
        </w:rPr>
        <w:t xml:space="preserve">make all</w:t>
      </w:r>
      <w:r>
        <w:rPr>
          <w:rFonts w:ascii="Times New Roman" w:cs="Times New Roman" w:eastAsia="Times New Roman" w:hAnsi="Times New Roman"/>
          <w:sz w:val="23"/>
          <w:szCs w:val="23"/>
        </w:rPr>
        <w:t xml:space="preserve">) from the raw Valuer General archives. Where A4 work changed or corrected something reported in A2, we say so plainly and show the size of the change, because a reader comparing the two sections deserves to know which figure to trust.</w:t>
      </w:r>
    </w:p>
    <w:p>
      <w:pPr>
        <w:pStyle w:val="Heading2"/>
        <w:keepNext/>
        <w:spacing w:after="80" w:before="200"/>
      </w:pPr>
      <w:r>
        <w:rPr>
          <w:rFonts w:ascii="Times New Roman" w:cs="Times New Roman" w:eastAsia="Times New Roman" w:hAnsi="Times New Roman"/>
        </w:rPr>
        <w:t xml:space="preserve">3.1 Where Assessment 2 Left Us: An Audit Before Building</w:t>
      </w:r>
    </w:p>
    <w:p>
      <w:pPr>
        <w:spacing w:after="100" w:before="0" w:line="252"/>
        <w:jc w:val="both"/>
      </w:pPr>
      <w:r>
        <w:rPr>
          <w:rFonts w:ascii="Times New Roman" w:cs="Times New Roman" w:eastAsia="Times New Roman" w:hAnsi="Times New Roman"/>
          <w:sz w:val="23"/>
          <w:szCs w:val="23"/>
        </w:rPr>
        <w:t xml:space="preserve">Before adding anything, we spent the first week of Sprint 9 auditing what A2 had actually delivered: the repository, the database dump and the feature store. The reasoning was simple. A2 was about 65% complete, and the last 35% (deployment, a refreshed model, public forecasts) would sit on top of the first 65%. A crack in the foundation would be inherited by everything built on it. The audit was worth it: it found six defects, none visible from the A2 report alone (Table A4.1).</w:t>
      </w:r>
    </w:p>
    <w:p>
      <w:pPr>
        <w:keepNext/>
        <w:spacing w:after="140" w:before="40"/>
        <w:jc w:val="center"/>
      </w:pPr>
      <w:r>
        <w:rPr>
          <w:rFonts w:ascii="Times New Roman" w:cs="Times New Roman" w:eastAsia="Times New Roman" w:hAnsi="Times New Roman"/>
          <w:b/>
          <w:bCs/>
          <w:sz w:val="20"/>
          <w:szCs w:val="20"/>
        </w:rPr>
        <w:t xml:space="preserve">Table A4.1 — </w:t>
      </w:r>
      <w:r>
        <w:rPr>
          <w:rFonts w:ascii="Times New Roman" w:cs="Times New Roman" w:eastAsia="Times New Roman" w:hAnsi="Times New Roman"/>
          <w:i/>
          <w:iCs/>
          <w:sz w:val="20"/>
          <w:szCs w:val="20"/>
        </w:rPr>
        <w:t xml:space="preserve">Defects found in the A2 artefacts during the Sprint 9 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2650"/>
        <w:gridCol w:w="1650"/>
        <w:gridCol w:w="2300"/>
        <w:gridCol w:w="2658"/>
      </w:tblGrid>
      <w:tr>
        <w:trPr>
          <w:cantSplit/>
          <w:tblHeader/>
        </w:trPr>
        <w:tc>
          <w:tcPr>
            <w:tcW w:type="dxa" w:w="38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7"/>
                <w:szCs w:val="17"/>
              </w:rPr>
              <w:t xml:space="preserve">#</w:t>
            </w:r>
          </w:p>
        </w:tc>
        <w:tc>
          <w:tcPr>
            <w:tcW w:type="dxa" w:w="265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7"/>
                <w:szCs w:val="17"/>
              </w:rPr>
              <w:t xml:space="preserve">Finding</w:t>
            </w:r>
          </w:p>
        </w:tc>
        <w:tc>
          <w:tcPr>
            <w:tcW w:type="dxa" w:w="165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7"/>
                <w:szCs w:val="17"/>
              </w:rPr>
              <w:t xml:space="preserve">Evidence</w:t>
            </w:r>
          </w:p>
        </w:tc>
        <w:tc>
          <w:tcPr>
            <w:tcW w:type="dxa" w:w="23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7"/>
                <w:szCs w:val="17"/>
              </w:rPr>
              <w:t xml:space="preserve">Consequence if left</w:t>
            </w:r>
          </w:p>
        </w:tc>
        <w:tc>
          <w:tcPr>
            <w:tcW w:type="dxa" w:w="2658"/>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7"/>
                <w:szCs w:val="17"/>
              </w:rPr>
              <w:t xml:space="preserve">A4 fix (section)</w:t>
            </w:r>
          </w:p>
        </w:tc>
      </w:tr>
      <w:tr>
        <w:trPr>
          <w:cantSplit/>
          <w:tblHeader w:val="false"/>
        </w:trPr>
        <w:tc>
          <w:tcPr>
            <w:tcW w:type="dxa" w:w="38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1</w:t>
            </w:r>
          </w:p>
        </w:tc>
        <w:tc>
          <w:tcPr>
            <w:tcW w:type="dxa" w:w="26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The scripts that produced </w:t>
            </w:r>
            <w:r>
              <w:rPr>
                <w:rFonts w:ascii="Consolas" w:cs="Consolas" w:eastAsia="Consolas" w:hAnsi="Consolas"/>
                <w:color w:val="333333"/>
                <w:sz w:val="14"/>
                <w:szCs w:val="14"/>
              </w:rPr>
              <w:t xml:space="preserve">cleaned_sales</w:t>
            </w:r>
            <w:r>
              <w:rPr>
                <w:rFonts w:ascii="Times New Roman" w:cs="Times New Roman" w:eastAsia="Times New Roman" w:hAnsi="Times New Roman"/>
                <w:sz w:val="17"/>
                <w:szCs w:val="17"/>
              </w:rPr>
              <w:t xml:space="preserve"> were not in the repository; the README itself listed </w:t>
            </w:r>
            <w:r>
              <w:rPr>
                <w:rFonts w:ascii="Consolas" w:cs="Consolas" w:eastAsia="Consolas" w:hAnsi="Consolas"/>
                <w:color w:val="333333"/>
                <w:sz w:val="14"/>
                <w:szCs w:val="14"/>
              </w:rPr>
              <w:t xml:space="preserve">src/</w:t>
            </w:r>
            <w:r>
              <w:rPr>
                <w:rFonts w:ascii="Times New Roman" w:cs="Times New Roman" w:eastAsia="Times New Roman" w:hAnsi="Times New Roman"/>
                <w:sz w:val="17"/>
                <w:szCs w:val="17"/>
              </w:rPr>
              <w:t xml:space="preserve"> as "to add".</w:t>
            </w:r>
          </w:p>
        </w:tc>
        <w:tc>
          <w:tcPr>
            <w:tcW w:type="dxa" w:w="16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GitHub tree at A2 tag</w:t>
            </w:r>
          </w:p>
        </w:tc>
        <w:tc>
          <w:tcPr>
            <w:tcW w:type="dxa" w:w="2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Results could not be regenerated or audited.</w:t>
            </w:r>
          </w:p>
        </w:tc>
        <w:tc>
          <w:tcPr>
            <w:tcW w:type="dxa" w:w="265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Full </w:t>
            </w:r>
            <w:r>
              <w:rPr>
                <w:rFonts w:ascii="Consolas" w:cs="Consolas" w:eastAsia="Consolas" w:hAnsi="Consolas"/>
                <w:color w:val="333333"/>
                <w:sz w:val="14"/>
                <w:szCs w:val="14"/>
              </w:rPr>
              <w:t xml:space="preserve">src/prt661</w:t>
            </w:r>
            <w:r>
              <w:rPr>
                <w:rFonts w:ascii="Times New Roman" w:cs="Times New Roman" w:eastAsia="Times New Roman" w:hAnsi="Times New Roman"/>
                <w:sz w:val="17"/>
                <w:szCs w:val="17"/>
              </w:rPr>
              <w:t xml:space="preserve"> package and CLI (3.3)</w:t>
            </w:r>
          </w:p>
        </w:tc>
      </w:tr>
      <w:tr>
        <w:trPr>
          <w:cantSplit/>
          <w:tblHeader w:val="false"/>
        </w:trPr>
        <w:tc>
          <w:tcPr>
            <w:tcW w:type="dxa" w:w="38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2</w:t>
            </w:r>
          </w:p>
        </w:tc>
        <w:tc>
          <w:tcPr>
            <w:tcW w:type="dxa" w:w="26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The repo's </w:t>
            </w:r>
            <w:r>
              <w:rPr>
                <w:rFonts w:ascii="Consolas" w:cs="Consolas" w:eastAsia="Consolas" w:hAnsi="Consolas"/>
                <w:color w:val="333333"/>
                <w:sz w:val="14"/>
                <w:szCs w:val="14"/>
              </w:rPr>
              <w:t xml:space="preserve">data_cleaning.py</w:t>
            </w:r>
            <w:r>
              <w:rPr>
                <w:rFonts w:ascii="Times New Roman" w:cs="Times New Roman" w:eastAsia="Times New Roman" w:hAnsi="Times New Roman"/>
                <w:sz w:val="17"/>
                <w:szCs w:val="17"/>
              </w:rPr>
              <w:t xml:space="preserve"> lacked the residential and date-window rules described in A2 §3.4, and kept the </w:t>
            </w:r>
            <w:r>
              <w:rPr>
                <w:rFonts w:ascii="Times New Roman" w:cs="Times New Roman" w:eastAsia="Times New Roman" w:hAnsi="Times New Roman"/>
                <w:i/>
                <w:iCs/>
                <w:sz w:val="17"/>
                <w:szCs w:val="17"/>
              </w:rPr>
              <w:t xml:space="preserve">earliest</w:t>
            </w:r>
            <w:r>
              <w:rPr>
                <w:rFonts w:ascii="Times New Roman" w:cs="Times New Roman" w:eastAsia="Times New Roman" w:hAnsi="Times New Roman"/>
                <w:sz w:val="17"/>
                <w:szCs w:val="17"/>
              </w:rPr>
              <w:t xml:space="preserve"> re-publication rather than the latest.</w:t>
            </w:r>
          </w:p>
        </w:tc>
        <w:tc>
          <w:tcPr>
            <w:tcW w:type="dxa" w:w="16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Code review vs. report</w:t>
            </w:r>
          </w:p>
        </w:tc>
        <w:tc>
          <w:tcPr>
            <w:tcW w:type="dxa" w:w="2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Re-running it would give a different dataset from the one modelled.</w:t>
            </w:r>
          </w:p>
        </w:tc>
        <w:tc>
          <w:tcPr>
            <w:tcW w:type="dxa" w:w="265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Rewritten; reproduces A2 Table 3.1 (3.4.1)</w:t>
            </w:r>
          </w:p>
        </w:tc>
      </w:tr>
      <w:tr>
        <w:trPr>
          <w:cantSplit/>
          <w:tblHeader w:val="false"/>
        </w:trPr>
        <w:tc>
          <w:tcPr>
            <w:tcW w:type="dxa" w:w="38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3</w:t>
            </w:r>
          </w:p>
        </w:tc>
        <w:tc>
          <w:tcPr>
            <w:tcW w:type="dxa" w:w="26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7,185 of 75,795 (9.5%) "quarter-on-quarter" targets in the A2 feature store spanned a missing quarter.</w:t>
            </w:r>
          </w:p>
        </w:tc>
        <w:tc>
          <w:tcPr>
            <w:tcW w:type="dxa" w:w="16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Gap check on </w:t>
            </w:r>
            <w:r>
              <w:rPr>
                <w:rFonts w:ascii="Consolas" w:cs="Consolas" w:eastAsia="Consolas" w:hAnsi="Consolas"/>
                <w:color w:val="333333"/>
                <w:sz w:val="14"/>
                <w:szCs w:val="14"/>
              </w:rPr>
              <w:t xml:space="preserve">NSW_feature_store.csv</w:t>
            </w:r>
          </w:p>
        </w:tc>
        <w:tc>
          <w:tcPr>
            <w:tcW w:type="dxa" w:w="2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Two- and three-quarter moves were scored as one-quarter moves, inflating error and volatility.</w:t>
            </w:r>
          </w:p>
        </w:tc>
        <w:tc>
          <w:tcPr>
            <w:tcW w:type="dxa" w:w="265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Complete suburb × quarter grid (3.4.3)</w:t>
            </w:r>
          </w:p>
        </w:tc>
      </w:tr>
      <w:tr>
        <w:trPr>
          <w:cantSplit/>
          <w:tblHeader w:val="false"/>
        </w:trPr>
        <w:tc>
          <w:tcPr>
            <w:tcW w:type="dxa" w:w="38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4</w:t>
            </w:r>
          </w:p>
        </w:tc>
        <w:tc>
          <w:tcPr>
            <w:tcW w:type="dxa" w:w="26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The ABS benchmark entered the model in the same quarter as the target, although ABS publishes about a quarter later.</w:t>
            </w:r>
          </w:p>
        </w:tc>
        <w:tc>
          <w:tcPr>
            <w:tcW w:type="dxa" w:w="16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Feature-store join logic</w:t>
            </w:r>
          </w:p>
        </w:tc>
        <w:tc>
          <w:tcPr>
            <w:tcW w:type="dxa" w:w="2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Mild look-ahead: the model used information not available at forecast time.</w:t>
            </w:r>
          </w:p>
        </w:tc>
        <w:tc>
          <w:tcPr>
            <w:tcW w:type="dxa" w:w="265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ABS regressor lagged one quarter (3.4.3)</w:t>
            </w:r>
          </w:p>
        </w:tc>
      </w:tr>
      <w:tr>
        <w:trPr>
          <w:cantSplit/>
          <w:tblHeader w:val="false"/>
        </w:trPr>
        <w:tc>
          <w:tcPr>
            <w:tcW w:type="dxa" w:w="38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5</w:t>
            </w:r>
          </w:p>
        </w:tc>
        <w:tc>
          <w:tcPr>
            <w:tcW w:type="dxa" w:w="26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The A2 database dump restores </w:t>
            </w:r>
            <w:r>
              <w:rPr>
                <w:rFonts w:ascii="Consolas" w:cs="Consolas" w:eastAsia="Consolas" w:hAnsi="Consolas"/>
                <w:color w:val="333333"/>
                <w:sz w:val="14"/>
                <w:szCs w:val="14"/>
              </w:rPr>
              <w:t xml:space="preserve">raw_sales</w:t>
            </w:r>
            <w:r>
              <w:rPr>
                <w:rFonts w:ascii="Times New Roman" w:cs="Times New Roman" w:eastAsia="Times New Roman" w:hAnsi="Times New Roman"/>
                <w:sz w:val="17"/>
                <w:szCs w:val="17"/>
              </w:rPr>
              <w:t xml:space="preserve"> and </w:t>
            </w:r>
            <w:r>
              <w:rPr>
                <w:rFonts w:ascii="Consolas" w:cs="Consolas" w:eastAsia="Consolas" w:hAnsi="Consolas"/>
                <w:color w:val="333333"/>
                <w:sz w:val="14"/>
                <w:szCs w:val="14"/>
              </w:rPr>
              <w:t xml:space="preserve">suburb_dim</w:t>
            </w:r>
            <w:r>
              <w:rPr>
                <w:rFonts w:ascii="Times New Roman" w:cs="Times New Roman" w:eastAsia="Times New Roman" w:hAnsi="Times New Roman"/>
                <w:sz w:val="17"/>
                <w:szCs w:val="17"/>
              </w:rPr>
              <w:t xml:space="preserve"> with </w:t>
            </w:r>
            <w:r>
              <w:rPr>
                <w:rFonts w:ascii="Times New Roman" w:cs="Times New Roman" w:eastAsia="Times New Roman" w:hAnsi="Times New Roman"/>
                <w:b/>
                <w:bCs/>
                <w:sz w:val="17"/>
                <w:szCs w:val="17"/>
              </w:rPr>
              <w:t xml:space="preserve">0 rows</w:t>
            </w:r>
            <w:r>
              <w:rPr>
                <w:rFonts w:ascii="Times New Roman" w:cs="Times New Roman" w:eastAsia="Times New Roman" w:hAnsi="Times New Roman"/>
                <w:sz w:val="17"/>
                <w:szCs w:val="17"/>
              </w:rPr>
              <w:t xml:space="preserve"> (A2 §3.3.1 reports 2,762,903 and 2,656).</w:t>
            </w:r>
          </w:p>
        </w:tc>
        <w:tc>
          <w:tcPr>
            <w:tcW w:type="dxa" w:w="16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Consolas" w:cs="Consolas" w:eastAsia="Consolas" w:hAnsi="Consolas"/>
                <w:color w:val="333333"/>
                <w:sz w:val="14"/>
                <w:szCs w:val="14"/>
              </w:rPr>
              <w:t xml:space="preserve">pg_restore</w:t>
            </w:r>
            <w:r>
              <w:rPr>
                <w:rFonts w:ascii="Times New Roman" w:cs="Times New Roman" w:eastAsia="Times New Roman" w:hAnsi="Times New Roman"/>
                <w:sz w:val="17"/>
                <w:szCs w:val="17"/>
              </w:rPr>
              <w:t xml:space="preserve"> into PostgreSQL 16</w:t>
            </w:r>
          </w:p>
        </w:tc>
        <w:tc>
          <w:tcPr>
            <w:tcW w:type="dxa" w:w="2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The raw-data lineage claimed in A2 could not be verified from the submitted artefact.</w:t>
            </w:r>
          </w:p>
        </w:tc>
        <w:tc>
          <w:tcPr>
            <w:tcW w:type="dxa" w:w="265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Both tables repopulated by the pipeline (3.4.2)</w:t>
            </w:r>
          </w:p>
        </w:tc>
      </w:tr>
      <w:tr>
        <w:trPr>
          <w:cantSplit/>
          <w:tblHeader w:val="false"/>
        </w:trPr>
        <w:tc>
          <w:tcPr>
            <w:tcW w:type="dxa" w:w="38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6</w:t>
            </w:r>
          </w:p>
        </w:tc>
        <w:tc>
          <w:tcPr>
            <w:tcW w:type="dxa" w:w="26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Consolas" w:cs="Consolas" w:eastAsia="Consolas" w:hAnsi="Consolas"/>
                <w:color w:val="333333"/>
                <w:sz w:val="14"/>
                <w:szCs w:val="14"/>
              </w:rPr>
              <w:t xml:space="preserve">requirements.txt</w:t>
            </w:r>
            <w:r>
              <w:rPr>
                <w:rFonts w:ascii="Times New Roman" w:cs="Times New Roman" w:eastAsia="Times New Roman" w:hAnsi="Times New Roman"/>
                <w:sz w:val="17"/>
                <w:szCs w:val="17"/>
              </w:rPr>
              <w:t xml:space="preserve"> contained unresolved Git merge-conflict markers.</w:t>
            </w:r>
          </w:p>
        </w:tc>
        <w:tc>
          <w:tcPr>
            <w:tcW w:type="dxa" w:w="16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File contents</w:t>
            </w:r>
          </w:p>
        </w:tc>
        <w:tc>
          <w:tcPr>
            <w:tcW w:type="dxa" w:w="2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Consolas" w:cs="Consolas" w:eastAsia="Consolas" w:hAnsi="Consolas"/>
                <w:color w:val="333333"/>
                <w:sz w:val="14"/>
                <w:szCs w:val="14"/>
              </w:rPr>
              <w:t xml:space="preserve">pip install -r</w:t>
            </w:r>
            <w:r>
              <w:rPr>
                <w:rFonts w:ascii="Times New Roman" w:cs="Times New Roman" w:eastAsia="Times New Roman" w:hAnsi="Times New Roman"/>
                <w:sz w:val="17"/>
                <w:szCs w:val="17"/>
              </w:rPr>
              <w:t xml:space="preserve"> failed on a clean machine.</w:t>
            </w:r>
          </w:p>
        </w:tc>
        <w:tc>
          <w:tcPr>
            <w:tcW w:type="dxa" w:w="265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Pinned pipeline and app requirement files (3.8)</w:t>
            </w:r>
          </w:p>
        </w:tc>
      </w:tr>
    </w:tbl>
    <w:p>
      <w:pPr>
        <w:spacing w:after="80"/>
      </w:pPr>
    </w:p>
    <w:p>
      <w:pPr>
        <w:spacing w:after="100" w:before="0" w:line="252"/>
        <w:jc w:val="both"/>
      </w:pPr>
      <w:r>
        <w:rPr>
          <w:rFonts w:ascii="Times New Roman" w:cs="Times New Roman" w:eastAsia="Times New Roman" w:hAnsi="Times New Roman"/>
          <w:sz w:val="23"/>
          <w:szCs w:val="23"/>
        </w:rPr>
        <w:t xml:space="preserve">None of these invalidates the direction of A2, but findings 3 and 4 mean the A2 model scores are not directly comparable with anything in this section. So we did not simply quote the A2 Gradient Boosting result. We </w:t>
      </w:r>
      <w:r>
        <w:rPr>
          <w:rFonts w:ascii="Times New Roman" w:cs="Times New Roman" w:eastAsia="Times New Roman" w:hAnsi="Times New Roman"/>
          <w:b/>
          <w:bCs/>
          <w:sz w:val="23"/>
          <w:szCs w:val="23"/>
        </w:rPr>
        <w:t xml:space="preserve">re-trained the exact A2 model configuration on the corrected data and the A4 test window</w:t>
      </w:r>
      <w:r>
        <w:rPr>
          <w:rFonts w:ascii="Times New Roman" w:cs="Times New Roman" w:eastAsia="Times New Roman" w:hAnsi="Times New Roman"/>
          <w:sz w:val="23"/>
          <w:szCs w:val="23"/>
        </w:rPr>
        <w:t xml:space="preserve">, and it appears as a named competitor in every results table (§3.6).</w:t>
      </w:r>
    </w:p>
    <w:p>
      <w:pPr>
        <w:pStyle w:val="Heading2"/>
        <w:keepNext/>
        <w:spacing w:after="80" w:before="200"/>
      </w:pPr>
      <w:r>
        <w:rPr>
          <w:rFonts w:ascii="Times New Roman" w:cs="Times New Roman" w:eastAsia="Times New Roman" w:hAnsi="Times New Roman"/>
        </w:rPr>
        <w:t xml:space="preserve">3.2 Final System Architecture</w:t>
      </w:r>
    </w:p>
    <w:p>
      <w:pPr>
        <w:spacing w:after="100" w:before="0" w:line="252"/>
        <w:jc w:val="both"/>
      </w:pPr>
      <w:r>
        <w:rPr>
          <w:rFonts w:ascii="Times New Roman" w:cs="Times New Roman" w:eastAsia="Times New Roman" w:hAnsi="Times New Roman"/>
          <w:sz w:val="23"/>
          <w:szCs w:val="23"/>
        </w:rPr>
        <w:t xml:space="preserve">The decision-first architecture from A1 (Decision → Insight → Data → Pipeline → Tools) has held up. What has changed is that every box is now implemented, tested and connected (Figure A4.1). Data flows left to right through five layers. A weekly scheduled job acquires new Valuer General releases, a deterministic parser and cleaner write to PostgreSQL, a feature builder and model layer produce back-tested forecasts, and a containerised web application serves only published, aggregated outputs. Forecasts are written back to the database, so the app and any analyst query read from the same source.</w:t>
      </w:r>
    </w:p>
    <w:p>
      <w:pPr>
        <w:keepNext/>
        <w:spacing w:after="20" w:before="60"/>
        <w:jc w:val="center"/>
      </w:pPr>
      <w:r>
        <w:drawing>
          <wp:inline distT="0" distB="0" distL="0" distR="0">
            <wp:extent cx="6096000" cy="2724150"/>
            <wp:effectExtent t="0" r="0" b="0" l="0"/>
            <wp:docPr id="1" name="fig_architecture.png" descr="Final system architecture. Every component is implemented; numbers are actual row counts from the final run." title="Final system architecture. Every component is implemented;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724150"/>
                    </a:xfrm>
                    <a:prstGeom prst="rect">
                      <a:avLst/>
                    </a:prstGeom>
                  </pic:spPr>
                </pic:pic>
              </a:graphicData>
            </a:graphic>
          </wp:inline>
        </w:drawing>
      </w:r>
    </w:p>
    <w:p>
      <w:pPr>
        <w:keepNext w:val="false"/>
        <w:spacing w:after="140" w:before="40"/>
        <w:jc w:val="center"/>
      </w:pPr>
      <w:r>
        <w:rPr>
          <w:rFonts w:ascii="Times New Roman" w:cs="Times New Roman" w:eastAsia="Times New Roman" w:hAnsi="Times New Roman"/>
          <w:b/>
          <w:bCs/>
          <w:sz w:val="20"/>
          <w:szCs w:val="20"/>
        </w:rPr>
        <w:t xml:space="preserve">Figure A4.1 — </w:t>
      </w:r>
      <w:r>
        <w:rPr>
          <w:rFonts w:ascii="Times New Roman" w:cs="Times New Roman" w:eastAsia="Times New Roman" w:hAnsi="Times New Roman"/>
          <w:i/>
          <w:iCs/>
          <w:sz w:val="20"/>
          <w:szCs w:val="20"/>
        </w:rPr>
        <w:t xml:space="preserve">Final system architecture. Every component is implemented; numbers are actual row counts from the final run.</w:t>
      </w:r>
    </w:p>
    <w:p>
      <w:pPr>
        <w:keepNext/>
        <w:spacing w:after="140" w:before="40"/>
        <w:jc w:val="center"/>
      </w:pPr>
      <w:r>
        <w:rPr>
          <w:rFonts w:ascii="Times New Roman" w:cs="Times New Roman" w:eastAsia="Times New Roman" w:hAnsi="Times New Roman"/>
          <w:b/>
          <w:bCs/>
          <w:sz w:val="20"/>
          <w:szCs w:val="20"/>
        </w:rPr>
        <w:t xml:space="preserve">Table A4.2 — </w:t>
      </w:r>
      <w:r>
        <w:rPr>
          <w:rFonts w:ascii="Times New Roman" w:cs="Times New Roman" w:eastAsia="Times New Roman" w:hAnsi="Times New Roman"/>
          <w:i/>
          <w:iCs/>
          <w:sz w:val="20"/>
          <w:szCs w:val="20"/>
        </w:rPr>
        <w:t xml:space="preserve">Architecture components: A2 versus final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4038"/>
      </w:tblGrid>
      <w:tr>
        <w:trPr>
          <w:cantSplit/>
          <w:tblHeader/>
        </w:trPr>
        <w:tc>
          <w:tcPr>
            <w:tcW w:type="dxa" w:w="21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Component</w:t>
            </w:r>
          </w:p>
        </w:tc>
        <w:tc>
          <w:tcPr>
            <w:tcW w:type="dxa" w:w="35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A2 status (§3.5)</w:t>
            </w:r>
          </w:p>
        </w:tc>
        <w:tc>
          <w:tcPr>
            <w:tcW w:type="dxa" w:w="4038"/>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A4 status</w:t>
            </w:r>
          </w:p>
        </w:tc>
      </w:tr>
      <w:tr>
        <w:trPr>
          <w:cantSplit/>
          <w:tblHeader w:val="false"/>
        </w:trPr>
        <w:tc>
          <w:tcPr>
            <w:tcW w:type="dxa" w:w="2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Data acquisition</w:t>
            </w:r>
          </w:p>
        </w:tc>
        <w:tc>
          <w:tcPr>
            <w:tcW w:type="dxa" w:w="3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Manual download; scheduling planned</w:t>
            </w:r>
          </w:p>
        </w:tc>
        <w:tc>
          <w:tcPr>
            <w:tcW w:type="dxa" w:w="40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Scripted; weekly GitHub Actions schedule (Tuesdays 06:00 AEDT)</w:t>
            </w:r>
          </w:p>
        </w:tc>
      </w:tr>
      <w:tr>
        <w:trPr>
          <w:cantSplit/>
          <w:tblHeader w:val="false"/>
        </w:trPr>
        <w:tc>
          <w:tcPr>
            <w:tcW w:type="dxa" w:w="2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Parsing &amp; cleaning</w:t>
            </w:r>
          </w:p>
        </w:tc>
        <w:tc>
          <w:tcPr>
            <w:tcW w:type="dxa" w:w="35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Notebook-based; not in repository</w:t>
            </w:r>
          </w:p>
        </w:tc>
        <w:tc>
          <w:tcPr>
            <w:tcW w:type="dxa" w:w="40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parsing.py</w:t>
            </w:r>
            <w:r>
              <w:rPr>
                <w:rFonts w:ascii="Times New Roman" w:cs="Times New Roman" w:eastAsia="Times New Roman" w:hAnsi="Times New Roman"/>
                <w:sz w:val="18"/>
                <w:szCs w:val="18"/>
              </w:rPr>
              <w:t xml:space="preserve">, </w:t>
            </w:r>
            <w:r>
              <w:rPr>
                <w:rFonts w:ascii="Consolas" w:cs="Consolas" w:eastAsia="Consolas" w:hAnsi="Consolas"/>
                <w:color w:val="333333"/>
                <w:sz w:val="15"/>
                <w:szCs w:val="15"/>
              </w:rPr>
              <w:t xml:space="preserve">cleaning.py</w:t>
            </w:r>
            <w:r>
              <w:rPr>
                <w:rFonts w:ascii="Times New Roman" w:cs="Times New Roman" w:eastAsia="Times New Roman" w:hAnsi="Times New Roman"/>
                <w:sz w:val="18"/>
                <w:szCs w:val="18"/>
              </w:rPr>
              <w:t xml:space="preserve">; reproduces A2 counts; 5 s to clean 2.5 M rows</w:t>
            </w:r>
          </w:p>
        </w:tc>
      </w:tr>
      <w:tr>
        <w:trPr>
          <w:cantSplit/>
          <w:tblHeader w:val="false"/>
        </w:trPr>
        <w:tc>
          <w:tcPr>
            <w:tcW w:type="dxa" w:w="2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PostgreSQL storage</w:t>
            </w:r>
          </w:p>
        </w:tc>
        <w:tc>
          <w:tcPr>
            <w:tcW w:type="dxa" w:w="3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5 tables; shared login</w:t>
            </w:r>
          </w:p>
        </w:tc>
        <w:tc>
          <w:tcPr>
            <w:tcW w:type="dxa" w:w="40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9 tables + 1 privacy view; least-privilege roles; audit log</w:t>
            </w:r>
          </w:p>
        </w:tc>
      </w:tr>
      <w:tr>
        <w:trPr>
          <w:cantSplit/>
          <w:tblHeader w:val="false"/>
        </w:trPr>
        <w:tc>
          <w:tcPr>
            <w:tcW w:type="dxa" w:w="2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Feature engineering</w:t>
            </w:r>
          </w:p>
        </w:tc>
        <w:tc>
          <w:tcPr>
            <w:tcW w:type="dxa" w:w="35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Lag/rolling/regime features</w:t>
            </w:r>
          </w:p>
        </w:tc>
        <w:tc>
          <w:tcPr>
            <w:tcW w:type="dxa" w:w="40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Complete grid, 24 features + 4 seasonal; automated look-ahead test</w:t>
            </w:r>
          </w:p>
        </w:tc>
      </w:tr>
      <w:tr>
        <w:trPr>
          <w:cantSplit/>
          <w:tblHeader w:val="false"/>
        </w:trPr>
        <w:tc>
          <w:tcPr>
            <w:tcW w:type="dxa" w:w="2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Forecasting models</w:t>
            </w:r>
          </w:p>
        </w:tc>
        <w:tc>
          <w:tcPr>
            <w:tcW w:type="dxa" w:w="3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Baselines, SARIMA, Prophet, GB (different samples)</w:t>
            </w:r>
          </w:p>
        </w:tc>
        <w:tc>
          <w:tcPr>
            <w:tcW w:type="dxa" w:w="40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12 models on identical cells; tuned; calibrated uncertainty</w:t>
            </w:r>
          </w:p>
        </w:tc>
      </w:tr>
      <w:tr>
        <w:trPr>
          <w:cantSplit/>
          <w:tblHeader w:val="false"/>
        </w:trPr>
        <w:tc>
          <w:tcPr>
            <w:tcW w:type="dxa" w:w="2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Web application</w:t>
            </w:r>
          </w:p>
        </w:tc>
        <w:tc>
          <w:tcPr>
            <w:tcW w:type="dxa" w:w="35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MVP; runs locally</w:t>
            </w:r>
          </w:p>
        </w:tc>
        <w:tc>
          <w:tcPr>
            <w:tcW w:type="dxa" w:w="40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v4 with forecast bands and reliability labels; Docker image; Streamlit Cloud config</w:t>
            </w:r>
          </w:p>
        </w:tc>
      </w:tr>
      <w:tr>
        <w:trPr>
          <w:cantSplit/>
          <w:tblHeader w:val="false"/>
        </w:trPr>
        <w:tc>
          <w:tcPr>
            <w:tcW w:type="dxa" w:w="2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Quality assurance</w:t>
            </w:r>
          </w:p>
        </w:tc>
        <w:tc>
          <w:tcPr>
            <w:tcW w:type="dxa" w:w="3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Manual review</w:t>
            </w:r>
          </w:p>
        </w:tc>
        <w:tc>
          <w:tcPr>
            <w:tcW w:type="dxa" w:w="40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13 automated tests + CI on every push</w:t>
            </w:r>
          </w:p>
        </w:tc>
      </w:tr>
    </w:tbl>
    <w:p>
      <w:pPr>
        <w:spacing w:after="80"/>
      </w:pPr>
    </w:p>
    <w:p>
      <w:pPr>
        <w:pStyle w:val="Heading2"/>
        <w:keepNext/>
        <w:spacing w:after="80" w:before="200"/>
      </w:pPr>
      <w:r>
        <w:rPr>
          <w:rFonts w:ascii="Times New Roman" w:cs="Times New Roman" w:eastAsia="Times New Roman" w:hAnsi="Times New Roman"/>
        </w:rPr>
        <w:t xml:space="preserve">3.3 Complete Implementation</w:t>
      </w:r>
    </w:p>
    <w:p>
      <w:pPr>
        <w:spacing w:after="100" w:before="0" w:line="252"/>
        <w:jc w:val="both"/>
      </w:pPr>
      <w:r>
        <w:rPr>
          <w:rFonts w:ascii="Times New Roman" w:cs="Times New Roman" w:eastAsia="Times New Roman" w:hAnsi="Times New Roman"/>
          <w:sz w:val="23"/>
          <w:szCs w:val="23"/>
        </w:rPr>
        <w:t xml:space="preserve">The single biggest change in A4 is structural. The project is now a Python package rather than a set of notebooks. Notebooks are good for exploration but poor for reproduction: execution order is implicit, outputs go stale, and there is nothing to test. We kept the A2 notebooks under </w:t>
      </w:r>
      <w:r>
        <w:rPr>
          <w:rFonts w:ascii="Consolas" w:cs="Consolas" w:eastAsia="Consolas" w:hAnsi="Consolas"/>
          <w:color w:val="333333"/>
          <w:sz w:val="20"/>
          <w:szCs w:val="20"/>
        </w:rPr>
        <w:t xml:space="preserve">notebooks/a2_legacy/</w:t>
      </w:r>
      <w:r>
        <w:rPr>
          <w:rFonts w:ascii="Times New Roman" w:cs="Times New Roman" w:eastAsia="Times New Roman" w:hAnsi="Times New Roman"/>
          <w:sz w:val="23"/>
          <w:szCs w:val="23"/>
        </w:rPr>
        <w:t xml:space="preserve"> as a historical record and moved all production logic into </w:t>
      </w:r>
      <w:r>
        <w:rPr>
          <w:rFonts w:ascii="Consolas" w:cs="Consolas" w:eastAsia="Consolas" w:hAnsi="Consolas"/>
          <w:color w:val="333333"/>
          <w:sz w:val="20"/>
          <w:szCs w:val="20"/>
        </w:rPr>
        <w:t xml:space="preserve">src/prt661/</w:t>
      </w:r>
      <w:r>
        <w:rPr>
          <w:rFonts w:ascii="Times New Roman" w:cs="Times New Roman" w:eastAsia="Times New Roman" w:hAnsi="Times New Roman"/>
          <w:sz w:val="23"/>
          <w:szCs w:val="23"/>
        </w:rPr>
        <w:t xml:space="preserve"> (Table A4.3).</w:t>
      </w:r>
    </w:p>
    <w:p>
      <w:pPr>
        <w:keepNext/>
        <w:spacing w:after="140" w:before="40"/>
        <w:jc w:val="center"/>
      </w:pPr>
      <w:r>
        <w:rPr>
          <w:rFonts w:ascii="Times New Roman" w:cs="Times New Roman" w:eastAsia="Times New Roman" w:hAnsi="Times New Roman"/>
          <w:b/>
          <w:bCs/>
          <w:sz w:val="20"/>
          <w:szCs w:val="20"/>
        </w:rPr>
        <w:t xml:space="preserve">Table A4.3 — </w:t>
      </w:r>
      <w:r>
        <w:rPr>
          <w:rFonts w:ascii="Times New Roman" w:cs="Times New Roman" w:eastAsia="Times New Roman" w:hAnsi="Times New Roman"/>
          <w:i/>
          <w:iCs/>
          <w:sz w:val="20"/>
          <w:szCs w:val="20"/>
        </w:rPr>
        <w:t xml:space="preserve">Source modules in the final repository (</w:t>
      </w:r>
      <w:r>
        <w:rPr>
          <w:rFonts w:ascii="Consolas" w:cs="Consolas" w:eastAsia="Consolas" w:hAnsi="Consolas"/>
          <w:color w:val="333333"/>
          <w:sz w:val="17"/>
          <w:szCs w:val="17"/>
        </w:rPr>
        <w:t xml:space="preserve">src/prt661/</w:t>
      </w:r>
      <w:r>
        <w:rPr>
          <w:rFonts w:ascii="Times New Roman" w:cs="Times New Roman" w:eastAsia="Times New Roman" w:hAnsi="Times New Roman"/>
          <w:i/>
          <w:iCs/>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338"/>
        <w:gridCol w:w="1000"/>
      </w:tblGrid>
      <w:tr>
        <w:trPr>
          <w:cantSplit/>
          <w:tblHeader/>
        </w:trPr>
        <w:tc>
          <w:tcPr>
            <w:tcW w:type="dxa" w:w="23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Module</w:t>
            </w:r>
          </w:p>
        </w:tc>
        <w:tc>
          <w:tcPr>
            <w:tcW w:type="dxa" w:w="6338"/>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Responsibility</w:t>
            </w:r>
          </w:p>
        </w:tc>
        <w:tc>
          <w:tcPr>
            <w:tcW w:type="dxa" w:w="10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8"/>
                <w:szCs w:val="18"/>
              </w:rPr>
              <w:t xml:space="preserve">Lines</w:t>
            </w:r>
          </w:p>
        </w:tc>
      </w:tr>
      <w:tr>
        <w:trPr>
          <w:cantSplit/>
          <w:tblHeader w:val="false"/>
        </w:trPr>
        <w:tc>
          <w:tcPr>
            <w:tcW w:type="dxa" w:w="2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config.py</w:t>
            </w:r>
          </w:p>
        </w:tc>
        <w:tc>
          <w:tcPr>
            <w:tcW w:type="dxa" w:w="63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All thresholds and paths in one place (every rule that changes a reported number)</w:t>
            </w:r>
          </w:p>
        </w:tc>
        <w:tc>
          <w:tcPr>
            <w:tcW w:type="dxa" w:w="1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52</w:t>
            </w:r>
          </w:p>
        </w:tc>
      </w:tr>
      <w:tr>
        <w:trPr>
          <w:cantSplit/>
          <w:tblHeader w:val="false"/>
        </w:trPr>
        <w:tc>
          <w:tcPr>
            <w:tcW w:type="dxa" w:w="2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acquisition.py</w:t>
            </w:r>
          </w:p>
        </w:tc>
        <w:tc>
          <w:tcPr>
            <w:tcW w:type="dxa" w:w="63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Downloads NSW VG weekly/annual archives and the latest ABS workbook (from A2, adapted)</w:t>
            </w:r>
          </w:p>
        </w:tc>
        <w:tc>
          <w:tcPr>
            <w:tcW w:type="dxa" w:w="1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124</w:t>
            </w:r>
          </w:p>
        </w:tc>
      </w:tr>
      <w:tr>
        <w:trPr>
          <w:cantSplit/>
          <w:tblHeader w:val="false"/>
        </w:trPr>
        <w:tc>
          <w:tcPr>
            <w:tcW w:type="dxa" w:w="2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parsing.py</w:t>
            </w:r>
          </w:p>
        </w:tc>
        <w:tc>
          <w:tcPr>
            <w:tcW w:type="dxa" w:w="63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Streams nested zip archives and parses Valuer General B-records (24 fields)</w:t>
            </w:r>
          </w:p>
        </w:tc>
        <w:tc>
          <w:tcPr>
            <w:tcW w:type="dxa" w:w="1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89</w:t>
            </w:r>
          </w:p>
        </w:tc>
      </w:tr>
      <w:tr>
        <w:trPr>
          <w:cantSplit/>
          <w:tblHeader w:val="false"/>
        </w:trPr>
        <w:tc>
          <w:tcPr>
            <w:tcW w:type="dxa" w:w="2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cleaning.py</w:t>
            </w:r>
          </w:p>
        </w:tc>
        <w:tc>
          <w:tcPr>
            <w:tcW w:type="dxa" w:w="63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Five documented cleaning rules with a reconciliation count for each</w:t>
            </w:r>
          </w:p>
        </w:tc>
        <w:tc>
          <w:tcPr>
            <w:tcW w:type="dxa" w:w="1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78</w:t>
            </w:r>
          </w:p>
        </w:tc>
      </w:tr>
      <w:tr>
        <w:trPr>
          <w:cantSplit/>
          <w:tblHeader w:val="false"/>
        </w:trPr>
        <w:tc>
          <w:tcPr>
            <w:tcW w:type="dxa" w:w="2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features.py</w:t>
            </w:r>
          </w:p>
        </w:tc>
        <w:tc>
          <w:tcPr>
            <w:tcW w:type="dxa" w:w="63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Complete suburb × quarter grid, 24 features, direct QoQ and cumulative targets</w:t>
            </w:r>
          </w:p>
        </w:tc>
        <w:tc>
          <w:tcPr>
            <w:tcW w:type="dxa" w:w="1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172</w:t>
            </w:r>
          </w:p>
        </w:tc>
      </w:tr>
      <w:tr>
        <w:trPr>
          <w:cantSplit/>
          <w:tblHeader w:val="false"/>
        </w:trPr>
        <w:tc>
          <w:tcPr>
            <w:tcW w:type="dxa" w:w="2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models.py</w:t>
            </w:r>
          </w:p>
        </w:tc>
        <w:tc>
          <w:tcPr>
            <w:tcW w:type="dxa" w:w="63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Baselines, A2 model replica, Ridge, Huber, RF, XGBoost, LightGBM, quantile models</w:t>
            </w:r>
          </w:p>
        </w:tc>
        <w:tc>
          <w:tcPr>
            <w:tcW w:type="dxa" w:w="1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93</w:t>
            </w:r>
          </w:p>
        </w:tc>
      </w:tr>
      <w:tr>
        <w:trPr>
          <w:cantSplit/>
          <w:tblHeader w:val="false"/>
        </w:trPr>
        <w:tc>
          <w:tcPr>
            <w:tcW w:type="dxa" w:w="2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backtest.py</w:t>
            </w:r>
          </w:p>
        </w:tc>
        <w:tc>
          <w:tcPr>
            <w:tcW w:type="dxa" w:w="63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Expanding-window walk-forward evaluation and CQR intervals</w:t>
            </w:r>
          </w:p>
        </w:tc>
        <w:tc>
          <w:tcPr>
            <w:tcW w:type="dxa" w:w="1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84</w:t>
            </w:r>
          </w:p>
        </w:tc>
      </w:tr>
      <w:tr>
        <w:trPr>
          <w:cantSplit/>
          <w:tblHeader w:val="false"/>
        </w:trPr>
        <w:tc>
          <w:tcPr>
            <w:tcW w:type="dxa" w:w="2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statistical.py</w:t>
            </w:r>
          </w:p>
        </w:tc>
        <w:tc>
          <w:tcPr>
            <w:tcW w:type="dxa" w:w="63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Per-suburb SARIMA and Prophet on the same window</w:t>
            </w:r>
          </w:p>
        </w:tc>
        <w:tc>
          <w:tcPr>
            <w:tcW w:type="dxa" w:w="1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59</w:t>
            </w:r>
          </w:p>
        </w:tc>
      </w:tr>
      <w:tr>
        <w:trPr>
          <w:cantSplit/>
          <w:tblHeader w:val="false"/>
        </w:trPr>
        <w:tc>
          <w:tcPr>
            <w:tcW w:type="dxa" w:w="2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evaluation.py</w:t>
            </w:r>
          </w:p>
        </w:tc>
        <w:tc>
          <w:tcPr>
            <w:tcW w:type="dxa" w:w="63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Metrics, Diebold–Mariano test, interval scores</w:t>
            </w:r>
          </w:p>
        </w:tc>
        <w:tc>
          <w:tcPr>
            <w:tcW w:type="dxa" w:w="1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53</w:t>
            </w:r>
          </w:p>
        </w:tc>
      </w:tr>
      <w:tr>
        <w:trPr>
          <w:cantSplit/>
          <w:tblHeader w:val="false"/>
        </w:trPr>
        <w:tc>
          <w:tcPr>
            <w:tcW w:type="dxa" w:w="2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forecast.py</w:t>
            </w:r>
          </w:p>
        </w:tc>
        <w:tc>
          <w:tcPr>
            <w:tcW w:type="dxa" w:w="63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Production training, forecast publishing, reliability labels, model registry</w:t>
            </w:r>
          </w:p>
        </w:tc>
        <w:tc>
          <w:tcPr>
            <w:tcW w:type="dxa" w:w="1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65</w:t>
            </w:r>
          </w:p>
        </w:tc>
      </w:tr>
      <w:tr>
        <w:trPr>
          <w:cantSplit/>
          <w:tblHeader w:val="false"/>
        </w:trPr>
        <w:tc>
          <w:tcPr>
            <w:tcW w:type="dxa" w:w="2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db.py</w:t>
            </w:r>
          </w:p>
        </w:tc>
        <w:tc>
          <w:tcPr>
            <w:tcW w:type="dxa" w:w="63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Transactional COPY loader and pipeline audit log</w:t>
            </w:r>
          </w:p>
        </w:tc>
        <w:tc>
          <w:tcPr>
            <w:tcW w:type="dxa" w:w="1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96</w:t>
            </w:r>
          </w:p>
        </w:tc>
      </w:tr>
      <w:tr>
        <w:trPr>
          <w:cantSplit/>
          <w:tblHeader w:val="false"/>
        </w:trPr>
        <w:tc>
          <w:tcPr>
            <w:tcW w:type="dxa" w:w="2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pipeline.py</w:t>
            </w:r>
          </w:p>
        </w:tc>
        <w:tc>
          <w:tcPr>
            <w:tcW w:type="dxa" w:w="63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Command-line orchestrator (</w:t>
            </w:r>
            <w:r>
              <w:rPr>
                <w:rFonts w:ascii="Consolas" w:cs="Consolas" w:eastAsia="Consolas" w:hAnsi="Consolas"/>
                <w:color w:val="333333"/>
                <w:sz w:val="15"/>
                <w:szCs w:val="15"/>
              </w:rPr>
              <w:t xml:space="preserve">python -m prt661.pipeline</w:t>
            </w:r>
            <w:r>
              <w:rPr>
                <w:rFonts w:ascii="Times New Roman" w:cs="Times New Roman" w:eastAsia="Times New Roman" w:hAnsi="Times New Roman"/>
                <w:sz w:val="18"/>
                <w:szCs w:val="18"/>
              </w:rPr>
              <w:t xml:space="preserve">)</w:t>
            </w:r>
          </w:p>
        </w:tc>
        <w:tc>
          <w:tcPr>
            <w:tcW w:type="dxa" w:w="1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110</w:t>
            </w:r>
          </w:p>
        </w:tc>
      </w:tr>
    </w:tbl>
    <w:p>
      <w:pPr>
        <w:spacing w:after="80"/>
      </w:pPr>
    </w:p>
    <w:p>
      <w:pPr>
        <w:spacing w:after="100" w:before="0" w:line="252"/>
        <w:jc w:val="both"/>
      </w:pPr>
      <w:r>
        <w:rPr>
          <w:rFonts w:ascii="Times New Roman" w:cs="Times New Roman" w:eastAsia="Times New Roman" w:hAnsi="Times New Roman"/>
          <w:sz w:val="23"/>
          <w:szCs w:val="23"/>
        </w:rPr>
        <w:t xml:space="preserve">Every stage reads the previous stage's artefact from </w:t>
      </w:r>
      <w:r>
        <w:rPr>
          <w:rFonts w:ascii="Consolas" w:cs="Consolas" w:eastAsia="Consolas" w:hAnsi="Consolas"/>
          <w:color w:val="333333"/>
          <w:sz w:val="20"/>
          <w:szCs w:val="20"/>
        </w:rPr>
        <w:t xml:space="preserve">data/processed/</w:t>
      </w:r>
      <w:r>
        <w:rPr>
          <w:rFonts w:ascii="Times New Roman" w:cs="Times New Roman" w:eastAsia="Times New Roman" w:hAnsi="Times New Roman"/>
          <w:sz w:val="23"/>
          <w:szCs w:val="23"/>
        </w:rPr>
        <w:t xml:space="preserve"> and writes its own, so stages can be re-run independently. The orchestrator exposes them through one command-line entry point (Figure A4.2). The weekly refresh job runs exactly the same entry point, which means what runs in production is the same code the tests exercise.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DB4" w:sz="4"/>
              <w:left w:val="single" w:color="A6ADB4" w:sz="4"/>
              <w:bottom w:val="single" w:color="A6ADB4" w:sz="4"/>
              <w:right w:val="single" w:color="A6ADB4" w:sz="4"/>
            </w:tcBorders>
            <w:shd w:fill="F4F5F7" w:color="auto" w:val="clear"/>
            <w:tcMar>
              <w:top w:type="dxa" w:w="60"/>
              <w:left w:type="dxa" w:w="120"/>
              <w:bottom w:type="dxa" w:w="60"/>
              <w:right w:type="dxa" w:w="120"/>
            </w:tcMar>
          </w:tcPr>
          <w:p>
            <w:pPr>
              <w:spacing w:after="0" w:line="220"/>
            </w:pPr>
            <w:r>
              <w:rPr>
                <w:rFonts w:ascii="Consolas" w:cs="Consolas" w:eastAsia="Consolas" w:hAnsi="Consolas"/>
                <w:sz w:val="15"/>
                <w:szCs w:val="15"/>
              </w:rPr>
              <w:t xml:space="preserve">$ python -m prt661.pipeline --stages parse clean features</w:t>
            </w:r>
          </w:p>
          <w:p>
            <w:pPr>
              <w:spacing w:after="0" w:line="220"/>
            </w:pPr>
            <w:r>
              <w:rPr>
                <w:rFonts w:ascii="Consolas" w:cs="Consolas" w:eastAsia="Consolas" w:hAnsi="Consolas"/>
                <w:sz w:val="15"/>
                <w:szCs w:val="15"/>
              </w:rPr>
              <w:t xml:space="preserve">[parse] starting</w:t>
            </w:r>
          </w:p>
          <w:p>
            <w:pPr>
              <w:spacing w:after="0" w:line="220"/>
            </w:pPr>
            <w:r>
              <w:rPr>
                <w:rFonts w:ascii="Consolas" w:cs="Consolas" w:eastAsia="Consolas" w:hAnsi="Consolas"/>
                <w:sz w:val="15"/>
                <w:szCs w:val="15"/>
              </w:rPr>
              <w:t xml:space="preserve">  parsed   2014.zip:   218,292 B-records      ...      parsed   2026.zip:   126,174 B-records</w:t>
            </w:r>
          </w:p>
          <w:p>
            <w:pPr>
              <w:spacing w:after="0" w:line="220"/>
            </w:pPr>
            <w:r>
              <w:rPr>
                <w:rFonts w:ascii="Consolas" w:cs="Consolas" w:eastAsia="Consolas" w:hAnsi="Consolas"/>
                <w:sz w:val="15"/>
                <w:szCs w:val="15"/>
              </w:rPr>
              <w:t xml:space="preserve">[parse] done in 31s {'rows_out': 2,762,903}</w:t>
            </w:r>
          </w:p>
          <w:p>
            <w:pPr>
              <w:spacing w:after="0" w:line="220"/>
            </w:pPr>
            <w:r>
              <w:rPr>
                <w:rFonts w:ascii="Consolas" w:cs="Consolas" w:eastAsia="Consolas" w:hAnsi="Consolas"/>
                <w:sz w:val="15"/>
                <w:szCs w:val="15"/>
              </w:rPr>
              <w:t xml:space="preserve">[clean] starting</w:t>
            </w:r>
          </w:p>
          <w:p>
            <w:pPr>
              <w:spacing w:after="0" w:line="220"/>
            </w:pPr>
            <w:r>
              <w:rPr>
                <w:rFonts w:ascii="Consolas" w:cs="Consolas" w:eastAsia="Consolas" w:hAnsi="Consolas"/>
                <w:sz w:val="15"/>
                <w:szCs w:val="15"/>
              </w:rPr>
              <w:t xml:space="preserve">[clean] done in 8s {'raw_parsed': 2,762,903, 'duplicates_removed': 237,770, 'non_residential_removed': 429,788,</w:t>
            </w:r>
          </w:p>
          <w:p>
            <w:pPr>
              <w:spacing w:after="0" w:line="220"/>
            </w:pPr>
            <w:r>
              <w:rPr>
                <w:rFonts w:ascii="Consolas" w:cs="Consolas" w:eastAsia="Consolas" w:hAnsi="Consolas"/>
                <w:sz w:val="15"/>
                <w:szCs w:val="15"/>
              </w:rPr>
              <w:t xml:space="preserve">         'outside_window_removed': 995, 'price_floor_removed': 1,850, 'outliers_flagged': 85,800, 'cleaned_total': 2,092,500}</w:t>
            </w:r>
          </w:p>
          <w:p>
            <w:pPr>
              <w:spacing w:after="0" w:line="220"/>
            </w:pPr>
            <w:r>
              <w:rPr>
                <w:rFonts w:ascii="Consolas" w:cs="Consolas" w:eastAsia="Consolas" w:hAnsi="Consolas"/>
                <w:sz w:val="15"/>
                <w:szCs w:val="15"/>
              </w:rPr>
              <w:t xml:space="preserve">[features] starting</w:t>
            </w:r>
          </w:p>
          <w:p>
            <w:pPr>
              <w:spacing w:after="0" w:line="220"/>
            </w:pPr>
            <w:r>
              <w:rPr>
                <w:rFonts w:ascii="Consolas" w:cs="Consolas" w:eastAsia="Consolas" w:hAnsi="Consolas"/>
                <w:sz w:val="15"/>
                <w:szCs w:val="15"/>
              </w:rPr>
              <w:t xml:space="preserve">[features] done in 11s {'rows_out': 226,160}</w:t>
            </w:r>
          </w:p>
        </w:tc>
      </w:tr>
    </w:tbl>
    <w:p>
      <w:pPr>
        <w:keepNext w:val="false"/>
        <w:spacing w:after="140" w:before="40"/>
        <w:jc w:val="center"/>
      </w:pPr>
      <w:r>
        <w:rPr>
          <w:rFonts w:ascii="Times New Roman" w:cs="Times New Roman" w:eastAsia="Times New Roman" w:hAnsi="Times New Roman"/>
          <w:b/>
          <w:bCs/>
          <w:sz w:val="20"/>
          <w:szCs w:val="20"/>
        </w:rPr>
        <w:t xml:space="preserve">Figure A4.2 — </w:t>
      </w:r>
      <w:r>
        <w:rPr>
          <w:rFonts w:ascii="Times New Roman" w:cs="Times New Roman" w:eastAsia="Times New Roman" w:hAnsi="Times New Roman"/>
          <w:i/>
          <w:iCs/>
          <w:sz w:val="20"/>
          <w:szCs w:val="20"/>
        </w:rPr>
        <w:t xml:space="preserve">Running the first three pipeline stages from the raw archives (actual console output, abridged).</w:t>
      </w:r>
    </w:p>
    <w:p>
      <w:pPr>
        <w:pStyle w:val="Heading2"/>
        <w:keepNext/>
        <w:spacing w:after="80" w:before="200"/>
      </w:pPr>
      <w:r>
        <w:rPr>
          <w:rFonts w:ascii="Times New Roman" w:cs="Times New Roman" w:eastAsia="Times New Roman" w:hAnsi="Times New Roman"/>
        </w:rPr>
        <w:t xml:space="preserve">3.4 Data Engineering</w:t>
      </w:r>
    </w:p>
    <w:p>
      <w:pPr>
        <w:pStyle w:val="Heading3"/>
        <w:keepNext/>
        <w:spacing w:after="60" w:before="140"/>
      </w:pPr>
      <w:r>
        <w:rPr>
          <w:rFonts w:ascii="Times New Roman" w:cs="Times New Roman" w:eastAsia="Times New Roman" w:hAnsi="Times New Roman"/>
        </w:rPr>
        <w:t xml:space="preserve">3.4.1 Reproducing the A2 Dataset from Raw Archives</w:t>
      </w:r>
    </w:p>
    <w:p>
      <w:pPr>
        <w:spacing w:after="100" w:before="0" w:line="252"/>
        <w:jc w:val="both"/>
      </w:pPr>
      <w:r>
        <w:rPr>
          <w:rFonts w:ascii="Times New Roman" w:cs="Times New Roman" w:eastAsia="Times New Roman" w:hAnsi="Times New Roman"/>
          <w:sz w:val="23"/>
          <w:szCs w:val="23"/>
        </w:rPr>
        <w:t xml:space="preserve">The NSW Valuer General archives are awkward: each yearly zip contains weekly zips (or folders) that contain one semicolon-delimited </w:t>
      </w:r>
      <w:r>
        <w:rPr>
          <w:rFonts w:ascii="Consolas" w:cs="Consolas" w:eastAsia="Consolas" w:hAnsi="Consolas"/>
          <w:color w:val="333333"/>
          <w:sz w:val="20"/>
          <w:szCs w:val="20"/>
        </w:rPr>
        <w:t xml:space="preserve">.DAT</w:t>
      </w:r>
      <w:r>
        <w:rPr>
          <w:rFonts w:ascii="Times New Roman" w:cs="Times New Roman" w:eastAsia="Times New Roman" w:hAnsi="Times New Roman"/>
          <w:sz w:val="23"/>
          <w:szCs w:val="23"/>
        </w:rPr>
        <w:t xml:space="preserve"> file per valuation district. Each file mixes header (A), sale (B), legal-description (C), party (D) and trailer (Z) records. Our parser streams these nested archives entirely in memory, keeps only B records, and maps the 24 positional fields from the Valuer General's published file format. It parsed </w:t>
      </w:r>
      <w:r>
        <w:rPr>
          <w:rFonts w:ascii="Times New Roman" w:cs="Times New Roman" w:eastAsia="Times New Roman" w:hAnsi="Times New Roman"/>
          <w:b/>
          <w:bCs/>
          <w:sz w:val="23"/>
          <w:szCs w:val="23"/>
        </w:rPr>
        <w:t xml:space="preserve">2,762,903 sale records in 31 seconds</w:t>
      </w:r>
      <w:r>
        <w:rPr>
          <w:rFonts w:ascii="Times New Roman" w:cs="Times New Roman" w:eastAsia="Times New Roman" w:hAnsi="Times New Roman"/>
          <w:sz w:val="23"/>
          <w:szCs w:val="23"/>
        </w:rPr>
        <w:t xml:space="preserve">, exactly the count reported in A2 §3.3. The cleaner then applies the five A2 rules in the documented order (Table A4.4).</w:t>
      </w:r>
    </w:p>
    <w:p>
      <w:pPr>
        <w:keepNext/>
        <w:spacing w:after="140" w:before="40"/>
        <w:jc w:val="center"/>
      </w:pPr>
      <w:r>
        <w:rPr>
          <w:rFonts w:ascii="Times New Roman" w:cs="Times New Roman" w:eastAsia="Times New Roman" w:hAnsi="Times New Roman"/>
          <w:b/>
          <w:bCs/>
          <w:sz w:val="20"/>
          <w:szCs w:val="20"/>
        </w:rPr>
        <w:t xml:space="preserve">Table A4.4 — </w:t>
      </w:r>
      <w:r>
        <w:rPr>
          <w:rFonts w:ascii="Times New Roman" w:cs="Times New Roman" w:eastAsia="Times New Roman" w:hAnsi="Times New Roman"/>
          <w:i/>
          <w:iCs/>
          <w:sz w:val="20"/>
          <w:szCs w:val="20"/>
        </w:rPr>
        <w:t xml:space="preserve">Cleaning reconciliation: A2 report versus the A4 pipeline run on the same raw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900"/>
        <w:gridCol w:w="1938"/>
      </w:tblGrid>
      <w:tr>
        <w:trPr>
          <w:cantSplit/>
          <w:tblHeader/>
        </w:trPr>
        <w:tc>
          <w:tcPr>
            <w:tcW w:type="dxa" w:w="40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Step (A2 §3.4 rule)</w:t>
            </w:r>
          </w:p>
        </w:tc>
        <w:tc>
          <w:tcPr>
            <w:tcW w:type="dxa" w:w="18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8"/>
                <w:szCs w:val="18"/>
              </w:rPr>
              <w:t xml:space="preserve">A2 reported</w:t>
            </w:r>
          </w:p>
        </w:tc>
        <w:tc>
          <w:tcPr>
            <w:tcW w:type="dxa" w:w="19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8"/>
                <w:szCs w:val="18"/>
              </w:rPr>
              <w:t xml:space="preserve">A4 reproduced</w:t>
            </w:r>
          </w:p>
        </w:tc>
        <w:tc>
          <w:tcPr>
            <w:tcW w:type="dxa" w:w="1938"/>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8"/>
                <w:szCs w:val="18"/>
              </w:rPr>
              <w:t xml:space="preserve">Difference</w:t>
            </w:r>
          </w:p>
        </w:tc>
      </w:tr>
      <w:tr>
        <w:trPr>
          <w:cantSplit/>
          <w:tblHeader w:val="false"/>
        </w:trPr>
        <w:tc>
          <w:tcPr>
            <w:tcW w:type="dxa" w:w="4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Raw parsed records</w:t>
            </w:r>
          </w:p>
        </w:tc>
        <w:tc>
          <w:tcPr>
            <w:tcW w:type="dxa" w:w="18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2,762,903</w:t>
            </w:r>
          </w:p>
        </w:tc>
        <w:tc>
          <w:tcPr>
            <w:tcW w:type="dxa" w:w="1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2,762,903</w:t>
            </w:r>
          </w:p>
        </w:tc>
        <w:tc>
          <w:tcPr>
            <w:tcW w:type="dxa" w:w="19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0</w:t>
            </w:r>
          </w:p>
        </w:tc>
      </w:tr>
      <w:tr>
        <w:trPr>
          <w:cantSplit/>
          <w:tblHeader w:val="false"/>
        </w:trPr>
        <w:tc>
          <w:tcPr>
            <w:tcW w:type="dxa" w:w="4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Duplicate re-publications removed (keep latest)</w:t>
            </w:r>
          </w:p>
        </w:tc>
        <w:tc>
          <w:tcPr>
            <w:tcW w:type="dxa" w:w="18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237,770</w:t>
            </w:r>
          </w:p>
        </w:tc>
        <w:tc>
          <w:tcPr>
            <w:tcW w:type="dxa" w:w="19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237,770</w:t>
            </w:r>
          </w:p>
        </w:tc>
        <w:tc>
          <w:tcPr>
            <w:tcW w:type="dxa" w:w="19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0</w:t>
            </w:r>
          </w:p>
        </w:tc>
      </w:tr>
      <w:tr>
        <w:trPr>
          <w:cantSplit/>
          <w:tblHeader w:val="false"/>
        </w:trPr>
        <w:tc>
          <w:tcPr>
            <w:tcW w:type="dxa" w:w="4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Non-residential removed</w:t>
            </w:r>
          </w:p>
        </w:tc>
        <w:tc>
          <w:tcPr>
            <w:tcW w:type="dxa" w:w="18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429,788</w:t>
            </w:r>
          </w:p>
        </w:tc>
        <w:tc>
          <w:tcPr>
            <w:tcW w:type="dxa" w:w="1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429,788</w:t>
            </w:r>
          </w:p>
        </w:tc>
        <w:tc>
          <w:tcPr>
            <w:tcW w:type="dxa" w:w="19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0</w:t>
            </w:r>
          </w:p>
        </w:tc>
      </w:tr>
      <w:tr>
        <w:trPr>
          <w:cantSplit/>
          <w:tblHeader w:val="false"/>
        </w:trPr>
        <w:tc>
          <w:tcPr>
            <w:tcW w:type="dxa" w:w="4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Outside 2013-Q1 – 2026-Q3 window</w:t>
            </w:r>
          </w:p>
        </w:tc>
        <w:tc>
          <w:tcPr>
            <w:tcW w:type="dxa" w:w="18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995</w:t>
            </w:r>
          </w:p>
        </w:tc>
        <w:tc>
          <w:tcPr>
            <w:tcW w:type="dxa" w:w="19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995</w:t>
            </w:r>
          </w:p>
        </w:tc>
        <w:tc>
          <w:tcPr>
            <w:tcW w:type="dxa" w:w="19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0</w:t>
            </w:r>
          </w:p>
        </w:tc>
      </w:tr>
      <w:tr>
        <w:trPr>
          <w:cantSplit/>
          <w:tblHeader w:val="false"/>
        </w:trPr>
        <w:tc>
          <w:tcPr>
            <w:tcW w:type="dxa" w:w="4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Below $10,000 price floor</w:t>
            </w:r>
          </w:p>
        </w:tc>
        <w:tc>
          <w:tcPr>
            <w:tcW w:type="dxa" w:w="18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1,851</w:t>
            </w:r>
          </w:p>
        </w:tc>
        <w:tc>
          <w:tcPr>
            <w:tcW w:type="dxa" w:w="1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1,850</w:t>
            </w:r>
          </w:p>
        </w:tc>
        <w:tc>
          <w:tcPr>
            <w:tcW w:type="dxa" w:w="19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w:t>
            </w:r>
          </w:p>
        </w:tc>
      </w:tr>
      <w:tr>
        <w:trPr>
          <w:cantSplit/>
          <w:tblHeader w:val="false"/>
        </w:trPr>
        <w:tc>
          <w:tcPr>
            <w:tcW w:type="dxa" w:w="4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Cleaned residential sales</w:t>
            </w:r>
          </w:p>
        </w:tc>
        <w:tc>
          <w:tcPr>
            <w:tcW w:type="dxa" w:w="18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8"/>
                <w:szCs w:val="18"/>
              </w:rPr>
              <w:t xml:space="preserve">2,092,499</w:t>
            </w:r>
          </w:p>
        </w:tc>
        <w:tc>
          <w:tcPr>
            <w:tcW w:type="dxa" w:w="19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8"/>
                <w:szCs w:val="18"/>
              </w:rPr>
              <w:t xml:space="preserve">2,092,500</w:t>
            </w:r>
          </w:p>
        </w:tc>
        <w:tc>
          <w:tcPr>
            <w:tcW w:type="dxa" w:w="19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8"/>
                <w:szCs w:val="18"/>
              </w:rPr>
              <w:t xml:space="preserve">+1</w:t>
            </w:r>
          </w:p>
        </w:tc>
      </w:tr>
      <w:tr>
        <w:trPr>
          <w:cantSplit/>
          <w:tblHeader w:val="false"/>
        </w:trPr>
        <w:tc>
          <w:tcPr>
            <w:tcW w:type="dxa" w:w="4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Outliers flagged (retained)</w:t>
            </w:r>
          </w:p>
        </w:tc>
        <w:tc>
          <w:tcPr>
            <w:tcW w:type="dxa" w:w="18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84,589</w:t>
            </w:r>
          </w:p>
        </w:tc>
        <w:tc>
          <w:tcPr>
            <w:tcW w:type="dxa" w:w="1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85,800</w:t>
            </w:r>
          </w:p>
        </w:tc>
        <w:tc>
          <w:tcPr>
            <w:tcW w:type="dxa" w:w="19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+1,211</w:t>
            </w:r>
          </w:p>
        </w:tc>
      </w:tr>
    </w:tbl>
    <w:p>
      <w:pPr>
        <w:spacing w:after="80"/>
      </w:pPr>
    </w:p>
    <w:p>
      <w:pPr>
        <w:spacing w:after="100" w:before="0" w:line="252"/>
        <w:jc w:val="both"/>
      </w:pPr>
      <w:r>
        <w:rPr>
          <w:rFonts w:ascii="Times New Roman" w:cs="Times New Roman" w:eastAsia="Times New Roman" w:hAnsi="Times New Roman"/>
          <w:sz w:val="23"/>
          <w:szCs w:val="23"/>
        </w:rPr>
        <w:t xml:space="preserve">Four of the five rules reproduce to the record. The single-record difference on the price floor is a boundary case (a sale recorded at exactly the floor), which we treat as immaterial. The outlier count differs by 1.4%, because A2 never recorded which grouping key and area unit its IQR fence used. We fixed the rule explicitly: Tukey's 1.5 × IQR fence on price per m², computed within each (suburb, settlement quarter) with at least four sales, for lots measured in square metres only. Hectare-measured rural blocks have a price per m² that is not comparable with suburban lots, so they are left out of the fence. We also replaced A2's row-wise </w:t>
      </w:r>
      <w:r>
        <w:rPr>
          <w:rFonts w:ascii="Consolas" w:cs="Consolas" w:eastAsia="Consolas" w:hAnsi="Consolas"/>
          <w:color w:val="333333"/>
          <w:sz w:val="20"/>
          <w:szCs w:val="20"/>
        </w:rPr>
        <w:t xml:space="preserve">groupby().apply</w:t>
      </w:r>
      <w:r>
        <w:rPr>
          <w:rFonts w:ascii="Times New Roman" w:cs="Times New Roman" w:eastAsia="Times New Roman" w:hAnsi="Times New Roman"/>
          <w:sz w:val="23"/>
          <w:szCs w:val="23"/>
        </w:rPr>
        <w:t xml:space="preserve"> with a vectorised implementation, cutting cleaning time from 179 s to 5 s. That matters once the job runs weekly.</w:t>
      </w:r>
    </w:p>
    <w:p>
      <w:pPr>
        <w:pStyle w:val="Heading3"/>
        <w:keepNext/>
        <w:spacing w:after="60" w:before="140"/>
      </w:pPr>
      <w:r>
        <w:rPr>
          <w:rFonts w:ascii="Times New Roman" w:cs="Times New Roman" w:eastAsia="Times New Roman" w:hAnsi="Times New Roman"/>
        </w:rPr>
        <w:t xml:space="preserve">3.4.2 Database: Repopulated, Extended and Secured</w:t>
      </w:r>
    </w:p>
    <w:p>
      <w:pPr>
        <w:spacing w:after="100" w:before="0" w:line="252"/>
        <w:jc w:val="both"/>
      </w:pPr>
      <w:r>
        <w:rPr>
          <w:rFonts w:ascii="Times New Roman" w:cs="Times New Roman" w:eastAsia="Times New Roman" w:hAnsi="Times New Roman"/>
          <w:sz w:val="23"/>
          <w:szCs w:val="23"/>
        </w:rPr>
        <w:t xml:space="preserve">We restored the A2 dump into a fresh PostgreSQL 16 server and immediately hit audit finding 5: </w:t>
      </w:r>
      <w:r>
        <w:rPr>
          <w:rFonts w:ascii="Consolas" w:cs="Consolas" w:eastAsia="Consolas" w:hAnsi="Consolas"/>
          <w:color w:val="333333"/>
          <w:sz w:val="20"/>
          <w:szCs w:val="20"/>
        </w:rPr>
        <w:t xml:space="preserve">raw_sales</w:t>
      </w:r>
      <w:r>
        <w:rPr>
          <w:rFonts w:ascii="Times New Roman" w:cs="Times New Roman" w:eastAsia="Times New Roman" w:hAnsi="Times New Roman"/>
          <w:sz w:val="23"/>
          <w:szCs w:val="23"/>
        </w:rPr>
        <w:t xml:space="preserve"> and </w:t>
      </w:r>
      <w:r>
        <w:rPr>
          <w:rFonts w:ascii="Consolas" w:cs="Consolas" w:eastAsia="Consolas" w:hAnsi="Consolas"/>
          <w:color w:val="333333"/>
          <w:sz w:val="20"/>
          <w:szCs w:val="20"/>
        </w:rPr>
        <w:t xml:space="preserve">suburb_dim</w:t>
      </w:r>
      <w:r>
        <w:rPr>
          <w:rFonts w:ascii="Times New Roman" w:cs="Times New Roman" w:eastAsia="Times New Roman" w:hAnsi="Times New Roman"/>
          <w:sz w:val="23"/>
          <w:szCs w:val="23"/>
        </w:rPr>
        <w:t xml:space="preserve"> exist but contain no rows. The pipeline's loader now bulk-loads through PostgreSQL </w:t>
      </w:r>
      <w:r>
        <w:rPr>
          <w:rFonts w:ascii="Consolas" w:cs="Consolas" w:eastAsia="Consolas" w:hAnsi="Consolas"/>
          <w:color w:val="333333"/>
          <w:sz w:val="20"/>
          <w:szCs w:val="20"/>
        </w:rPr>
        <w:t xml:space="preserve">COPY</w:t>
      </w:r>
      <w:r>
        <w:rPr>
          <w:rFonts w:ascii="Times New Roman" w:cs="Times New Roman" w:eastAsia="Times New Roman" w:hAnsi="Times New Roman"/>
          <w:sz w:val="23"/>
          <w:szCs w:val="23"/>
        </w:rPr>
        <w:t xml:space="preserve"> inside a single transaction, so a failed load leaves the table unchanged rather than half-written. Each load writes an audit row to a new </w:t>
      </w:r>
      <w:r>
        <w:rPr>
          <w:rFonts w:ascii="Consolas" w:cs="Consolas" w:eastAsia="Consolas" w:hAnsi="Consolas"/>
          <w:color w:val="333333"/>
          <w:sz w:val="20"/>
          <w:szCs w:val="20"/>
        </w:rPr>
        <w:t xml:space="preserve">pipeline_runs</w:t>
      </w:r>
      <w:r>
        <w:rPr>
          <w:rFonts w:ascii="Times New Roman" w:cs="Times New Roman" w:eastAsia="Times New Roman" w:hAnsi="Times New Roman"/>
          <w:sz w:val="23"/>
          <w:szCs w:val="23"/>
        </w:rPr>
        <w:t xml:space="preserve"> table. Loading all 2,762,903 raw rows takes about 90 seconds. Schema v2 (</w:t>
      </w:r>
      <w:r>
        <w:rPr>
          <w:rFonts w:ascii="Consolas" w:cs="Consolas" w:eastAsia="Consolas" w:hAnsi="Consolas"/>
          <w:color w:val="333333"/>
          <w:sz w:val="20"/>
          <w:szCs w:val="20"/>
        </w:rPr>
        <w:t xml:space="preserve">database/schema_v2.sql</w:t>
      </w:r>
      <w:r>
        <w:rPr>
          <w:rFonts w:ascii="Times New Roman" w:cs="Times New Roman" w:eastAsia="Times New Roman" w:hAnsi="Times New Roman"/>
          <w:sz w:val="23"/>
          <w:szCs w:val="23"/>
        </w:rPr>
        <w:t xml:space="preserve">, idempotent) adds four operational tables and one view (Table A4.5).</w:t>
      </w:r>
    </w:p>
    <w:p>
      <w:pPr>
        <w:keepNext/>
        <w:spacing w:after="140" w:before="40"/>
        <w:jc w:val="center"/>
      </w:pPr>
      <w:r>
        <w:rPr>
          <w:rFonts w:ascii="Times New Roman" w:cs="Times New Roman" w:eastAsia="Times New Roman" w:hAnsi="Times New Roman"/>
          <w:b/>
          <w:bCs/>
          <w:sz w:val="20"/>
          <w:szCs w:val="20"/>
        </w:rPr>
        <w:t xml:space="preserve">Table A4.5 — </w:t>
      </w:r>
      <w:r>
        <w:rPr>
          <w:rFonts w:ascii="Times New Roman" w:cs="Times New Roman" w:eastAsia="Times New Roman" w:hAnsi="Times New Roman"/>
          <w:i/>
          <w:iCs/>
          <w:sz w:val="20"/>
          <w:szCs w:val="20"/>
        </w:rPr>
        <w:t xml:space="preserve">Final database 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Table / view</w:t>
            </w:r>
          </w:p>
        </w:tc>
        <w:tc>
          <w:tcPr>
            <w:tcW w:type="dxa" w:w="5238"/>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Purpose</w:t>
            </w:r>
          </w:p>
        </w:tc>
        <w:tc>
          <w:tcPr>
            <w:tcW w:type="dxa" w:w="19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8"/>
                <w:szCs w:val="18"/>
              </w:rPr>
              <w:t xml:space="preserve">Rows (final run)</w:t>
            </w:r>
          </w:p>
        </w:tc>
      </w:tr>
      <w:tr>
        <w:trPr>
          <w:cantSplit/>
          <w:tblHeader w:val="false"/>
        </w:trPr>
        <w:tc>
          <w:tcPr>
            <w:tcW w:type="dxa" w:w="2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raw_sales</w:t>
            </w:r>
          </w:p>
        </w:tc>
        <w:tc>
          <w:tcPr>
            <w:tcW w:type="dxa" w:w="52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Landing table, now actually populated</w:t>
            </w:r>
          </w:p>
        </w:tc>
        <w:tc>
          <w:tcPr>
            <w:tcW w:type="dxa" w:w="1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2,762,903</w:t>
            </w:r>
          </w:p>
        </w:tc>
      </w:tr>
      <w:tr>
        <w:trPr>
          <w:cantSplit/>
          <w:tblHeader w:val="false"/>
        </w:trPr>
        <w:tc>
          <w:tcPr>
            <w:tcW w:type="dxa" w:w="25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cleaned_sales</w:t>
            </w:r>
          </w:p>
        </w:tc>
        <w:tc>
          <w:tcPr>
            <w:tcW w:type="dxa" w:w="52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Modelling-grade sales (unchanged from A2)</w:t>
            </w:r>
          </w:p>
        </w:tc>
        <w:tc>
          <w:tcPr>
            <w:tcW w:type="dxa" w:w="19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2,092,499</w:t>
            </w:r>
          </w:p>
        </w:tc>
      </w:tr>
      <w:tr>
        <w:trPr>
          <w:cantSplit/>
          <w:tblHeader w:val="false"/>
        </w:trPr>
        <w:tc>
          <w:tcPr>
            <w:tcW w:type="dxa" w:w="2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suburb_dim</w:t>
            </w:r>
          </w:p>
        </w:tc>
        <w:tc>
          <w:tcPr>
            <w:tcW w:type="dxa" w:w="52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Suburb → modal postcode → region, now populated</w:t>
            </w:r>
          </w:p>
        </w:tc>
        <w:tc>
          <w:tcPr>
            <w:tcW w:type="dxa" w:w="1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4,111</w:t>
            </w:r>
          </w:p>
        </w:tc>
      </w:tr>
      <w:tr>
        <w:trPr>
          <w:cantSplit/>
          <w:tblHeader w:val="false"/>
        </w:trPr>
        <w:tc>
          <w:tcPr>
            <w:tcW w:type="dxa" w:w="25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abs_benchmark</w:t>
            </w:r>
          </w:p>
        </w:tc>
        <w:tc>
          <w:tcPr>
            <w:tcW w:type="dxa" w:w="52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ABS Total Value of Dwellings (unchanged)</w:t>
            </w:r>
          </w:p>
        </w:tc>
        <w:tc>
          <w:tcPr>
            <w:tcW w:type="dxa" w:w="19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97</w:t>
            </w:r>
          </w:p>
        </w:tc>
      </w:tr>
      <w:tr>
        <w:trPr>
          <w:cantSplit/>
          <w:tblHeader w:val="false"/>
        </w:trPr>
        <w:tc>
          <w:tcPr>
            <w:tcW w:type="dxa" w:w="2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feature_store_v2</w:t>
            </w:r>
          </w:p>
        </w:tc>
        <w:tc>
          <w:tcPr>
            <w:tcW w:type="dxa" w:w="52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Complete suburb × quarter grid with v2 features (new)</w:t>
            </w:r>
          </w:p>
        </w:tc>
        <w:tc>
          <w:tcPr>
            <w:tcW w:type="dxa" w:w="1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226,160</w:t>
            </w:r>
          </w:p>
        </w:tc>
      </w:tr>
      <w:tr>
        <w:trPr>
          <w:cantSplit/>
          <w:tblHeader w:val="false"/>
        </w:trPr>
        <w:tc>
          <w:tcPr>
            <w:tcW w:type="dxa" w:w="25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model_registry</w:t>
            </w:r>
          </w:p>
        </w:tc>
        <w:tc>
          <w:tcPr>
            <w:tcW w:type="dxa" w:w="52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One row per trained model: version, horizon, SHA-256 of artefact, back-test metrics (new)</w:t>
            </w:r>
          </w:p>
        </w:tc>
        <w:tc>
          <w:tcPr>
            <w:tcW w:type="dxa" w:w="19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4</w:t>
            </w:r>
          </w:p>
        </w:tc>
      </w:tr>
      <w:tr>
        <w:trPr>
          <w:cantSplit/>
          <w:tblHeader w:val="false"/>
        </w:trPr>
        <w:tc>
          <w:tcPr>
            <w:tcW w:type="dxa" w:w="2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forecasts</w:t>
            </w:r>
          </w:p>
        </w:tc>
        <w:tc>
          <w:tcPr>
            <w:tcW w:type="dxa" w:w="52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Published forecasts with P10/P90 and reliability label (new)</w:t>
            </w:r>
          </w:p>
        </w:tc>
        <w:tc>
          <w:tcPr>
            <w:tcW w:type="dxa" w:w="1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5,116</w:t>
            </w:r>
          </w:p>
        </w:tc>
      </w:tr>
      <w:tr>
        <w:trPr>
          <w:cantSplit/>
          <w:tblHeader w:val="false"/>
        </w:trPr>
        <w:tc>
          <w:tcPr>
            <w:tcW w:type="dxa" w:w="25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pipeline_runs</w:t>
            </w:r>
          </w:p>
        </w:tc>
        <w:tc>
          <w:tcPr>
            <w:tcW w:type="dxa" w:w="52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Audit log of every load stage (new)</w:t>
            </w:r>
          </w:p>
        </w:tc>
        <w:tc>
          <w:tcPr>
            <w:tcW w:type="dxa" w:w="19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per run</w:t>
            </w:r>
          </w:p>
        </w:tc>
      </w:tr>
      <w:tr>
        <w:trPr>
          <w:cantSplit/>
          <w:tblHeader w:val="false"/>
        </w:trPr>
        <w:tc>
          <w:tcPr>
            <w:tcW w:type="dxa" w:w="2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v_public_suburb_quarter</w:t>
            </w:r>
          </w:p>
        </w:tc>
        <w:tc>
          <w:tcPr>
            <w:tcW w:type="dxa" w:w="52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Privacy view: hides any statistic built from fewer than 5 sales (new)</w:t>
            </w:r>
          </w:p>
        </w:tc>
        <w:tc>
          <w:tcPr>
            <w:tcW w:type="dxa" w:w="1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55,883 cells suppressed</w:t>
            </w:r>
          </w:p>
        </w:tc>
      </w:tr>
    </w:tbl>
    <w:p>
      <w:pPr>
        <w:spacing w:after="80"/>
      </w:pPr>
    </w:p>
    <w:p>
      <w:pPr>
        <w:spacing w:after="100" w:before="0" w:line="252"/>
        <w:jc w:val="both"/>
      </w:pPr>
      <w:r>
        <w:rPr>
          <w:rFonts w:ascii="Times New Roman" w:cs="Times New Roman" w:eastAsia="Times New Roman" w:hAnsi="Times New Roman"/>
          <w:sz w:val="23"/>
          <w:szCs w:val="23"/>
        </w:rPr>
        <w:t xml:space="preserve">The A2 report flagged the shared team login as an open governance task. It is now closed (Figure A4.3). Privileges sit on three group roles: </w:t>
      </w:r>
      <w:r>
        <w:rPr>
          <w:rFonts w:ascii="Consolas" w:cs="Consolas" w:eastAsia="Consolas" w:hAnsi="Consolas"/>
          <w:color w:val="333333"/>
          <w:sz w:val="20"/>
          <w:szCs w:val="20"/>
        </w:rPr>
        <w:t xml:space="preserve">prt661_etl</w:t>
      </w:r>
      <w:r>
        <w:rPr>
          <w:rFonts w:ascii="Times New Roman" w:cs="Times New Roman" w:eastAsia="Times New Roman" w:hAnsi="Times New Roman"/>
          <w:sz w:val="23"/>
          <w:szCs w:val="23"/>
        </w:rPr>
        <w:t xml:space="preserve"> (read/write data), </w:t>
      </w:r>
      <w:r>
        <w:rPr>
          <w:rFonts w:ascii="Consolas" w:cs="Consolas" w:eastAsia="Consolas" w:hAnsi="Consolas"/>
          <w:color w:val="333333"/>
          <w:sz w:val="20"/>
          <w:szCs w:val="20"/>
        </w:rPr>
        <w:t xml:space="preserve">prt661_analyst</w:t>
      </w:r>
      <w:r>
        <w:rPr>
          <w:rFonts w:ascii="Times New Roman" w:cs="Times New Roman" w:eastAsia="Times New Roman" w:hAnsi="Times New Roman"/>
          <w:sz w:val="23"/>
          <w:szCs w:val="23"/>
        </w:rPr>
        <w:t xml:space="preserve"> (read-only, </w:t>
      </w:r>
      <w:r>
        <w:rPr>
          <w:rFonts w:ascii="Times New Roman" w:cs="Times New Roman" w:eastAsia="Times New Roman" w:hAnsi="Times New Roman"/>
          <w:i/>
          <w:iCs/>
          <w:sz w:val="23"/>
          <w:szCs w:val="23"/>
        </w:rPr>
        <w:t xml:space="preserve">without</w:t>
      </w:r>
      <w:r>
        <w:rPr>
          <w:rFonts w:ascii="Times New Roman" w:cs="Times New Roman" w:eastAsia="Times New Roman" w:hAnsi="Times New Roman"/>
          <w:sz w:val="23"/>
          <w:szCs w:val="23"/>
        </w:rPr>
        <w:t xml:space="preserve"> access to </w:t>
      </w:r>
      <w:r>
        <w:rPr>
          <w:rFonts w:ascii="Consolas" w:cs="Consolas" w:eastAsia="Consolas" w:hAnsi="Consolas"/>
          <w:color w:val="333333"/>
          <w:sz w:val="20"/>
          <w:szCs w:val="20"/>
        </w:rPr>
        <w:t xml:space="preserve">raw_sales</w:t>
      </w:r>
      <w:r>
        <w:rPr>
          <w:rFonts w:ascii="Times New Roman" w:cs="Times New Roman" w:eastAsia="Times New Roman" w:hAnsi="Times New Roman"/>
          <w:sz w:val="23"/>
          <w:szCs w:val="23"/>
        </w:rPr>
        <w:t xml:space="preserve"> and therefore to street addresses) and </w:t>
      </w:r>
      <w:r>
        <w:rPr>
          <w:rFonts w:ascii="Consolas" w:cs="Consolas" w:eastAsia="Consolas" w:hAnsi="Consolas"/>
          <w:color w:val="333333"/>
          <w:sz w:val="20"/>
          <w:szCs w:val="20"/>
        </w:rPr>
        <w:t xml:space="preserve">prt661_app_ro</w:t>
      </w:r>
      <w:r>
        <w:rPr>
          <w:rFonts w:ascii="Times New Roman" w:cs="Times New Roman" w:eastAsia="Times New Roman" w:hAnsi="Times New Roman"/>
          <w:sz w:val="23"/>
          <w:szCs w:val="23"/>
        </w:rPr>
        <w:t xml:space="preserve"> (forecasts and the privacy view only). Each team member has a personal login inheriting the role their work needs, and passwords are supplied at run time rather than committed.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DB4" w:sz="4"/>
              <w:left w:val="single" w:color="A6ADB4" w:sz="4"/>
              <w:bottom w:val="single" w:color="A6ADB4" w:sz="4"/>
              <w:right w:val="single" w:color="A6ADB4" w:sz="4"/>
            </w:tcBorders>
            <w:shd w:fill="F4F5F7" w:color="auto" w:val="clear"/>
            <w:tcMar>
              <w:top w:type="dxa" w:w="60"/>
              <w:left w:type="dxa" w:w="120"/>
              <w:bottom w:type="dxa" w:w="60"/>
              <w:right w:type="dxa" w:w="120"/>
            </w:tcMar>
          </w:tcPr>
          <w:p>
            <w:pPr>
              <w:spacing w:after="0" w:line="220"/>
            </w:pPr>
            <w:r>
              <w:rPr>
                <w:rFonts w:ascii="Consolas" w:cs="Consolas" w:eastAsia="Consolas" w:hAnsi="Consolas"/>
                <w:sz w:val="15"/>
                <w:szCs w:val="15"/>
              </w:rPr>
              <w:t xml:space="preserve">$ psql -U raiyan_mohd (analyst role)</w:t>
            </w:r>
          </w:p>
          <w:p>
            <w:pPr>
              <w:spacing w:after="0" w:line="220"/>
            </w:pPr>
            <w:r>
              <w:rPr>
                <w:rFonts w:ascii="Consolas" w:cs="Consolas" w:eastAsia="Consolas" w:hAnsi="Consolas"/>
                <w:sz w:val="15"/>
                <w:szCs w:val="15"/>
              </w:rPr>
              <w:t xml:space="preserve"> count</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226160</w:t>
            </w:r>
          </w:p>
          <w:p>
            <w:pPr>
              <w:spacing w:after="0" w:line="220"/>
            </w:pPr>
            <w:r>
              <w:rPr>
                <w:rFonts w:ascii="Consolas" w:cs="Consolas" w:eastAsia="Consolas" w:hAnsi="Consolas"/>
                <w:sz w:val="15"/>
                <w:szCs w:val="15"/>
              </w:rPr>
              <w:t xml:space="preserve">ERROR:  permission denied for table raw_sales</w:t>
            </w:r>
          </w:p>
          <w:p>
            <w:pPr>
              <w:spacing w:after="0" w:line="220"/>
            </w:pPr>
            <w:r>
              <w:rPr>
                <w:rFonts w:ascii="Consolas" w:cs="Consolas" w:eastAsia="Consolas" w:hAnsi="Consolas"/>
                <w:sz w:val="15"/>
                <w:szCs w:val="15"/>
              </w:rPr>
              <w:t xml:space="preserve">$ psql -U prt661_app (web-app role)</w:t>
            </w:r>
          </w:p>
          <w:p>
            <w:pPr>
              <w:spacing w:after="0" w:line="220"/>
            </w:pPr>
            <w:r>
              <w:rPr>
                <w:rFonts w:ascii="Consolas" w:cs="Consolas" w:eastAsia="Consolas" w:hAnsi="Consolas"/>
                <w:sz w:val="15"/>
                <w:szCs w:val="15"/>
              </w:rPr>
              <w:t xml:space="preserve"> count</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55883</w:t>
            </w:r>
          </w:p>
          <w:p>
            <w:pPr>
              <w:spacing w:after="0" w:line="220"/>
            </w:pPr>
            <w:r>
              <w:rPr>
                <w:rFonts w:ascii="Consolas" w:cs="Consolas" w:eastAsia="Consolas" w:hAnsi="Consolas"/>
                <w:sz w:val="15"/>
                <w:szCs w:val="15"/>
              </w:rPr>
              <w:t xml:space="preserve">ERROR:  permission denied for table cleaned_sales</w:t>
            </w:r>
          </w:p>
          <w:p>
            <w:pPr>
              <w:spacing w:after="0" w:line="220"/>
            </w:pPr>
            <w:r>
              <w:rPr>
                <w:rFonts w:ascii="Consolas" w:cs="Consolas" w:eastAsia="Consolas" w:hAnsi="Consolas"/>
                <w:sz w:val="15"/>
                <w:szCs w:val="15"/>
              </w:rPr>
              <w:t xml:space="preserve">$ psql -U ferdous_anik (ETL role)</w:t>
            </w:r>
          </w:p>
          <w:p>
            <w:pPr>
              <w:spacing w:after="0" w:line="220"/>
            </w:pPr>
            <w:r>
              <w:rPr>
                <w:rFonts w:ascii="Consolas" w:cs="Consolas" w:eastAsia="Consolas" w:hAnsi="Consolas"/>
                <w:sz w:val="15"/>
                <w:szCs w:val="15"/>
              </w:rPr>
              <w:t xml:space="preserve">         stage         | status | rows_out</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load_raw_sales        | ok     |  2762903</w:t>
            </w:r>
          </w:p>
          <w:p>
            <w:pPr>
              <w:spacing w:after="0" w:line="220"/>
            </w:pPr>
            <w:r>
              <w:rPr>
                <w:rFonts w:ascii="Consolas" w:cs="Consolas" w:eastAsia="Consolas" w:hAnsi="Consolas"/>
                <w:sz w:val="15"/>
                <w:szCs w:val="15"/>
              </w:rPr>
              <w:t xml:space="preserve"> load_feature_store_v2 | ok     |   226160</w:t>
            </w:r>
          </w:p>
          <w:p>
            <w:pPr>
              <w:spacing w:after="0" w:line="220"/>
            </w:pPr>
            <w:r>
              <w:rPr>
                <w:rFonts w:ascii="Consolas" w:cs="Consolas" w:eastAsia="Consolas" w:hAnsi="Consolas"/>
                <w:sz w:val="15"/>
                <w:szCs w:val="15"/>
              </w:rPr>
              <w:t xml:space="preserve"> load_suburb_dim       | ok     |     4111</w:t>
            </w:r>
          </w:p>
          <w:p>
            <w:pPr>
              <w:spacing w:after="0" w:line="220"/>
            </w:pPr>
            <w:r>
              <w:rPr>
                <w:rFonts w:ascii="Consolas" w:cs="Consolas" w:eastAsia="Consolas" w:hAnsi="Consolas"/>
                <w:sz w:val="15"/>
                <w:szCs w:val="15"/>
              </w:rPr>
              <w:t xml:space="preserve">ERROR:  must be owner of table feature_store</w:t>
            </w:r>
          </w:p>
        </w:tc>
      </w:tr>
    </w:tbl>
    <w:p>
      <w:pPr>
        <w:keepNext w:val="false"/>
        <w:spacing w:after="140" w:before="40"/>
        <w:jc w:val="center"/>
      </w:pPr>
      <w:r>
        <w:rPr>
          <w:rFonts w:ascii="Times New Roman" w:cs="Times New Roman" w:eastAsia="Times New Roman" w:hAnsi="Times New Roman"/>
          <w:b/>
          <w:bCs/>
          <w:sz w:val="20"/>
          <w:szCs w:val="20"/>
        </w:rPr>
        <w:t xml:space="preserve">Figure A4.3 — </w:t>
      </w:r>
      <w:r>
        <w:rPr>
          <w:rFonts w:ascii="Times New Roman" w:cs="Times New Roman" w:eastAsia="Times New Roman" w:hAnsi="Times New Roman"/>
          <w:i/>
          <w:iCs/>
          <w:sz w:val="20"/>
          <w:szCs w:val="20"/>
        </w:rPr>
        <w:t xml:space="preserve">Least-privilege roles tested against the live database (actual psql output).</w:t>
      </w:r>
    </w:p>
    <w:p>
      <w:pPr>
        <w:pStyle w:val="Heading3"/>
        <w:keepNext/>
        <w:spacing w:after="60" w:before="140"/>
      </w:pPr>
      <w:r>
        <w:rPr>
          <w:rFonts w:ascii="Times New Roman" w:cs="Times New Roman" w:eastAsia="Times New Roman" w:hAnsi="Times New Roman"/>
        </w:rPr>
        <w:t xml:space="preserve">3.4.3 Feature Store v2</w:t>
      </w:r>
    </w:p>
    <w:p>
      <w:pPr>
        <w:spacing w:after="100" w:before="0" w:line="252"/>
        <w:jc w:val="both"/>
      </w:pPr>
      <w:r>
        <w:rPr>
          <w:rFonts w:ascii="Times New Roman" w:cs="Times New Roman" w:eastAsia="Times New Roman" w:hAnsi="Times New Roman"/>
          <w:sz w:val="23"/>
          <w:szCs w:val="23"/>
        </w:rPr>
        <w:t xml:space="preserve">Two of the audit findings lived in the feature store, so we rebuilt it rather than patching it. The key change is that every suburb now has a row for </w:t>
      </w:r>
      <w:r>
        <w:rPr>
          <w:rFonts w:ascii="Times New Roman" w:cs="Times New Roman" w:eastAsia="Times New Roman" w:hAnsi="Times New Roman"/>
          <w:b/>
          <w:bCs/>
          <w:sz w:val="23"/>
          <w:szCs w:val="23"/>
        </w:rPr>
        <w:t xml:space="preserve">every</w:t>
      </w:r>
      <w:r>
        <w:rPr>
          <w:rFonts w:ascii="Times New Roman" w:cs="Times New Roman" w:eastAsia="Times New Roman" w:hAnsi="Times New Roman"/>
          <w:sz w:val="23"/>
          <w:szCs w:val="23"/>
        </w:rPr>
        <w:t xml:space="preserve"> quarter, giving 226,160 rows for 4,112 suburbs over 55 quarters, of which 120,187 have at least one sale. A quarter-on-quarter change is only defined when </w:t>
      </w:r>
      <w:r>
        <w:rPr>
          <w:rFonts w:ascii="Times New Roman" w:cs="Times New Roman" w:eastAsia="Times New Roman" w:hAnsi="Times New Roman"/>
          <w:b/>
          <w:bCs/>
          <w:sz w:val="23"/>
          <w:szCs w:val="23"/>
        </w:rPr>
        <w:t xml:space="preserve">both</w:t>
      </w:r>
      <w:r>
        <w:rPr>
          <w:rFonts w:ascii="Times New Roman" w:cs="Times New Roman" w:eastAsia="Times New Roman" w:hAnsi="Times New Roman"/>
          <w:sz w:val="23"/>
          <w:szCs w:val="23"/>
        </w:rPr>
        <w:t xml:space="preserve"> adjacent quarters have at least five sales; otherwise it is missing, never silently stretched over a gap. This yields 55,198 valid QoQ observations. That is fewer than A2, but each one means what its name says.</w:t>
      </w:r>
    </w:p>
    <w:p>
      <w:pPr>
        <w:spacing w:after="100" w:before="0" w:line="252"/>
        <w:jc w:val="both"/>
      </w:pPr>
      <w:r>
        <w:rPr>
          <w:rFonts w:ascii="Times New Roman" w:cs="Times New Roman" w:eastAsia="Times New Roman" w:hAnsi="Times New Roman"/>
          <w:sz w:val="23"/>
          <w:szCs w:val="23"/>
        </w:rPr>
        <w:t xml:space="preserve">We also reframed the table around the </w:t>
      </w:r>
      <w:r>
        <w:rPr>
          <w:rFonts w:ascii="Times New Roman" w:cs="Times New Roman" w:eastAsia="Times New Roman" w:hAnsi="Times New Roman"/>
          <w:b/>
          <w:bCs/>
          <w:sz w:val="23"/>
          <w:szCs w:val="23"/>
        </w:rPr>
        <w:t xml:space="preserve">forecast origin</w:t>
      </w:r>
      <w:r>
        <w:rPr>
          <w:rFonts w:ascii="Times New Roman" w:cs="Times New Roman" w:eastAsia="Times New Roman" w:hAnsi="Times New Roman"/>
          <w:sz w:val="23"/>
          <w:szCs w:val="23"/>
        </w:rPr>
        <w:t xml:space="preserve">. A row for quarter </w:t>
      </w:r>
      <w:r>
        <w:rPr>
          <w:rFonts w:ascii="Times New Roman" w:cs="Times New Roman" w:eastAsia="Times New Roman" w:hAnsi="Times New Roman"/>
          <w:i/>
          <w:iCs/>
          <w:sz w:val="23"/>
          <w:szCs w:val="23"/>
        </w:rPr>
        <w:t xml:space="preserve">t</w:t>
      </w:r>
      <w:r>
        <w:rPr>
          <w:rFonts w:ascii="Times New Roman" w:cs="Times New Roman" w:eastAsia="Times New Roman" w:hAnsi="Times New Roman"/>
          <w:sz w:val="23"/>
          <w:szCs w:val="23"/>
        </w:rPr>
        <w:t xml:space="preserve"> holds only what is known at the end of </w:t>
      </w:r>
      <w:r>
        <w:rPr>
          <w:rFonts w:ascii="Times New Roman" w:cs="Times New Roman" w:eastAsia="Times New Roman" w:hAnsi="Times New Roman"/>
          <w:i/>
          <w:iCs/>
          <w:sz w:val="23"/>
          <w:szCs w:val="23"/>
        </w:rPr>
        <w:t xml:space="preserve">t</w:t>
      </w:r>
      <w:r>
        <w:rPr>
          <w:rFonts w:ascii="Times New Roman" w:cs="Times New Roman" w:eastAsia="Times New Roman" w:hAnsi="Times New Roman"/>
          <w:sz w:val="23"/>
          <w:szCs w:val="23"/>
        </w:rPr>
        <w:t xml:space="preserve">, and direct targets for </w:t>
      </w:r>
      <w:r>
        <w:rPr>
          <w:rFonts w:ascii="Times New Roman" w:cs="Times New Roman" w:eastAsia="Times New Roman" w:hAnsi="Times New Roman"/>
          <w:i/>
          <w:iCs/>
          <w:sz w:val="23"/>
          <w:szCs w:val="23"/>
        </w:rPr>
        <w:t xml:space="preserve">t + 1 … t + 4</w:t>
      </w:r>
      <w:r>
        <w:rPr>
          <w:rFonts w:ascii="Times New Roman" w:cs="Times New Roman" w:eastAsia="Times New Roman" w:hAnsi="Times New Roman"/>
          <w:sz w:val="23"/>
          <w:szCs w:val="23"/>
        </w:rPr>
        <w:t xml:space="preserve"> are stored alongside. Two versions are kept: the QoQ change in that future quarter (the A2 target, used for evaluation) and the cumulative change from </w:t>
      </w:r>
      <w:r>
        <w:rPr>
          <w:rFonts w:ascii="Times New Roman" w:cs="Times New Roman" w:eastAsia="Times New Roman" w:hAnsi="Times New Roman"/>
          <w:i/>
          <w:iCs/>
          <w:sz w:val="23"/>
          <w:szCs w:val="23"/>
        </w:rPr>
        <w:t xml:space="preserve">t</w:t>
      </w:r>
      <w:r>
        <w:rPr>
          <w:rFonts w:ascii="Times New Roman" w:cs="Times New Roman" w:eastAsia="Times New Roman" w:hAnsi="Times New Roman"/>
          <w:sz w:val="23"/>
          <w:szCs w:val="23"/>
        </w:rPr>
        <w:t xml:space="preserve"> (used for the price path shown to users, §3.5.4). An automated test now enforces this: it triples every sale price </w:t>
      </w:r>
      <w:r>
        <w:rPr>
          <w:rFonts w:ascii="Times New Roman" w:cs="Times New Roman" w:eastAsia="Times New Roman" w:hAnsi="Times New Roman"/>
          <w:b/>
          <w:bCs/>
          <w:sz w:val="23"/>
          <w:szCs w:val="23"/>
        </w:rPr>
        <w:t xml:space="preserve">after</w:t>
      </w:r>
      <w:r>
        <w:rPr>
          <w:rFonts w:ascii="Times New Roman" w:cs="Times New Roman" w:eastAsia="Times New Roman" w:hAnsi="Times New Roman"/>
          <w:sz w:val="23"/>
          <w:szCs w:val="23"/>
        </w:rPr>
        <w:t xml:space="preserve"> the origin, rebuilds the store, and asserts that no feature at the origin moves (Figure A4.12). The new features answer specific weaknesses seen in A2 (Table A4.6).</w:t>
      </w:r>
    </w:p>
    <w:p>
      <w:pPr>
        <w:keepNext/>
        <w:spacing w:after="140" w:before="40"/>
        <w:jc w:val="center"/>
      </w:pPr>
      <w:r>
        <w:rPr>
          <w:rFonts w:ascii="Times New Roman" w:cs="Times New Roman" w:eastAsia="Times New Roman" w:hAnsi="Times New Roman"/>
          <w:b/>
          <w:bCs/>
          <w:sz w:val="20"/>
          <w:szCs w:val="20"/>
        </w:rPr>
        <w:t xml:space="preserve">Table A4.6 — </w:t>
      </w:r>
      <w:r>
        <w:rPr>
          <w:rFonts w:ascii="Times New Roman" w:cs="Times New Roman" w:eastAsia="Times New Roman" w:hAnsi="Times New Roman"/>
          <w:i/>
          <w:iCs/>
          <w:sz w:val="20"/>
          <w:szCs w:val="20"/>
        </w:rPr>
        <w:t xml:space="preserve">Feature groups in feature store v2 (24 features + 4 target-quarter dummies).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838"/>
      </w:tblGrid>
      <w:tr>
        <w:trPr>
          <w:cantSplit/>
          <w:tblHeader/>
        </w:trPr>
        <w:tc>
          <w:tcPr>
            <w:tcW w:type="dxa" w:w="19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Feature group</w:t>
            </w:r>
          </w:p>
        </w:tc>
        <w:tc>
          <w:tcPr>
            <w:tcW w:type="dxa" w:w="39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Features</w:t>
            </w:r>
          </w:p>
        </w:tc>
        <w:tc>
          <w:tcPr>
            <w:tcW w:type="dxa" w:w="3838"/>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Why it was added</w:t>
            </w:r>
          </w:p>
        </w:tc>
      </w:tr>
      <w:tr>
        <w:trPr>
          <w:cantSplit/>
          <w:tblHeader w:val="false"/>
        </w:trPr>
        <w:tc>
          <w:tcPr>
            <w:tcW w:type="dxa" w:w="1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Momentum (own suburb)</w:t>
            </w:r>
          </w:p>
        </w:tc>
        <w:tc>
          <w:tcPr>
            <w:tcW w:type="dxa" w:w="3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QoQ at t, t−1, t−2, t−3; 4- and 8-quarter means; 4-quarter volatility; YoY change</w:t>
            </w:r>
          </w:p>
        </w:tc>
        <w:tc>
          <w:tcPr>
            <w:tcW w:type="dxa" w:w="38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A2 lags, re-based to the forecast origin; YoY is far less noisy than QoQ</w:t>
            </w:r>
          </w:p>
        </w:tc>
      </w:tr>
      <w:tr>
        <w:trPr>
          <w:cantSplit/>
          <w:tblHeader w:val="false"/>
        </w:trPr>
        <w:tc>
          <w:tcPr>
            <w:tcW w:type="dxa" w:w="19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Mean reversion</w:t>
            </w:r>
          </w:p>
        </w:tc>
        <w:tc>
          <w:tcPr>
            <w:tcW w:type="dxa" w:w="39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Deviation of log median from its 4-quarter mean</w:t>
            </w:r>
          </w:p>
        </w:tc>
        <w:tc>
          <w:tcPr>
            <w:tcW w:type="dxa" w:w="38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EDA Pass 2 found r = −0.27 between consecutive QoQ moves: a jump is often a composition artefact that reverses</w:t>
            </w:r>
          </w:p>
        </w:tc>
      </w:tr>
      <w:tr>
        <w:trPr>
          <w:cantSplit/>
          <w:tblHeader w:val="false"/>
        </w:trPr>
        <w:tc>
          <w:tcPr>
            <w:tcW w:type="dxa" w:w="1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Composition</w:t>
            </w:r>
          </w:p>
        </w:tc>
        <w:tc>
          <w:tcPr>
            <w:tcW w:type="dxa" w:w="3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Unit (strata) share and its change; median $/m²; log price level</w:t>
            </w:r>
          </w:p>
        </w:tc>
        <w:tc>
          <w:tcPr>
            <w:tcW w:type="dxa" w:w="38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A suburb median moves when the mix of houses vs. units sold changes (A2 §3.7 listed this as not yet done)</w:t>
            </w:r>
          </w:p>
        </w:tc>
      </w:tr>
      <w:tr>
        <w:trPr>
          <w:cantSplit/>
          <w:tblHeader w:val="false"/>
        </w:trPr>
        <w:tc>
          <w:tcPr>
            <w:tcW w:type="dxa" w:w="19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Market breadth</w:t>
            </w:r>
          </w:p>
        </w:tc>
        <w:tc>
          <w:tcPr>
            <w:tcW w:type="dxa" w:w="39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Regional and NSW median QoQ from our own data; regional 4-quarter momentum</w:t>
            </w:r>
          </w:p>
        </w:tc>
        <w:tc>
          <w:tcPr>
            <w:tcW w:type="dxa" w:w="38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Timely market signal — available weeks before the ABS release</w:t>
            </w:r>
          </w:p>
        </w:tc>
      </w:tr>
      <w:tr>
        <w:trPr>
          <w:cantSplit/>
          <w:tblHeader w:val="false"/>
        </w:trPr>
        <w:tc>
          <w:tcPr>
            <w:tcW w:type="dxa" w:w="1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Macro (lagged)</w:t>
            </w:r>
          </w:p>
        </w:tc>
        <w:tc>
          <w:tcPr>
            <w:tcW w:type="dxa" w:w="3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ABS regional growth and Total Value of Dwellings growth, both at t−1</w:t>
            </w:r>
          </w:p>
        </w:tc>
        <w:tc>
          <w:tcPr>
            <w:tcW w:type="dxa" w:w="38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Keeps the A2 benchmark idea but removes look-ahead</w:t>
            </w:r>
          </w:p>
        </w:tc>
      </w:tr>
      <w:tr>
        <w:trPr>
          <w:cantSplit/>
          <w:tblHeader w:val="false"/>
        </w:trPr>
        <w:tc>
          <w:tcPr>
            <w:tcW w:type="dxa" w:w="19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Liquidity</w:t>
            </w:r>
          </w:p>
        </w:tc>
        <w:tc>
          <w:tcPr>
            <w:tcW w:type="dxa" w:w="39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Log sales count, change in volume, quarters with ≥5 sales in last 8</w:t>
            </w:r>
          </w:p>
        </w:tc>
        <w:tc>
          <w:tcPr>
            <w:tcW w:type="dxa" w:w="38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Lets the model learn that thin markets are noisier</w:t>
            </w:r>
          </w:p>
        </w:tc>
      </w:tr>
      <w:tr>
        <w:trPr>
          <w:cantSplit/>
          <w:tblHeader w:val="false"/>
        </w:trPr>
        <w:tc>
          <w:tcPr>
            <w:tcW w:type="dxa" w:w="1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Calendar / regime</w:t>
            </w:r>
          </w:p>
        </w:tc>
        <w:tc>
          <w:tcPr>
            <w:tcW w:type="dxa" w:w="3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Target-quarter dummies; COVID and rate-hike flags at t</w:t>
            </w:r>
          </w:p>
        </w:tc>
        <w:tc>
          <w:tcPr>
            <w:tcW w:type="dxa" w:w="38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Seasonality of the </w:t>
            </w:r>
            <w:r>
              <w:rPr>
                <w:rFonts w:ascii="Times New Roman" w:cs="Times New Roman" w:eastAsia="Times New Roman" w:hAnsi="Times New Roman"/>
                <w:i/>
                <w:iCs/>
                <w:sz w:val="18"/>
                <w:szCs w:val="18"/>
              </w:rPr>
              <w:t xml:space="preserve">target</w:t>
            </w:r>
            <w:r>
              <w:rPr>
                <w:rFonts w:ascii="Times New Roman" w:cs="Times New Roman" w:eastAsia="Times New Roman" w:hAnsi="Times New Roman"/>
                <w:sz w:val="18"/>
                <w:szCs w:val="18"/>
              </w:rPr>
              <w:t xml:space="preserve"> quarter is known in advance</w:t>
            </w:r>
          </w:p>
        </w:tc>
      </w:tr>
    </w:tbl>
    <w:p>
      <w:pPr>
        <w:spacing w:after="80"/>
      </w:pPr>
    </w:p>
    <w:p>
      <w:pPr>
        <w:pStyle w:val="Heading2"/>
        <w:keepNext/>
        <w:spacing w:after="80" w:before="200"/>
      </w:pPr>
      <w:r>
        <w:rPr>
          <w:rFonts w:ascii="Times New Roman" w:cs="Times New Roman" w:eastAsia="Times New Roman" w:hAnsi="Times New Roman"/>
        </w:rPr>
        <w:t xml:space="preserve">3.5 Analytics and Machine Learning</w:t>
      </w:r>
    </w:p>
    <w:p>
      <w:pPr>
        <w:pStyle w:val="Heading3"/>
        <w:keepNext/>
        <w:spacing w:after="60" w:before="140"/>
      </w:pPr>
      <w:r>
        <w:rPr>
          <w:rFonts w:ascii="Times New Roman" w:cs="Times New Roman" w:eastAsia="Times New Roman" w:hAnsi="Times New Roman"/>
        </w:rPr>
        <w:t xml:space="preserve">3.5.1 The Forecasting Task, Stated Precisely</w:t>
      </w:r>
    </w:p>
    <w:p>
      <w:pPr>
        <w:spacing w:after="100" w:before="0" w:line="252"/>
        <w:jc w:val="both"/>
      </w:pPr>
      <w:r>
        <w:rPr>
          <w:rFonts w:ascii="Times New Roman" w:cs="Times New Roman" w:eastAsia="Times New Roman" w:hAnsi="Times New Roman"/>
          <w:sz w:val="23"/>
          <w:szCs w:val="23"/>
        </w:rPr>
        <w:t xml:space="preserve">The target is unchanged from A2 §3.1: the quarter-on-quarter percentage change in a suburb's median residential sale price, one to four quarters ahead, with a 10th–90th percentile range. What A4 adds is precision about </w:t>
      </w:r>
      <w:r>
        <w:rPr>
          <w:rFonts w:ascii="Times New Roman" w:cs="Times New Roman" w:eastAsia="Times New Roman" w:hAnsi="Times New Roman"/>
          <w:i/>
          <w:iCs/>
          <w:sz w:val="23"/>
          <w:szCs w:val="23"/>
        </w:rPr>
        <w:t xml:space="preserve">when</w:t>
      </w:r>
      <w:r>
        <w:rPr>
          <w:rFonts w:ascii="Times New Roman" w:cs="Times New Roman" w:eastAsia="Times New Roman" w:hAnsi="Times New Roman"/>
          <w:sz w:val="23"/>
          <w:szCs w:val="23"/>
        </w:rPr>
        <w:t xml:space="preserve"> a forecast is made and </w:t>
      </w:r>
      <w:r>
        <w:rPr>
          <w:rFonts w:ascii="Times New Roman" w:cs="Times New Roman" w:eastAsia="Times New Roman" w:hAnsi="Times New Roman"/>
          <w:i/>
          <w:iCs/>
          <w:sz w:val="23"/>
          <w:szCs w:val="23"/>
        </w:rPr>
        <w:t xml:space="preserve">what</w:t>
      </w:r>
      <w:r>
        <w:rPr>
          <w:rFonts w:ascii="Times New Roman" w:cs="Times New Roman" w:eastAsia="Times New Roman" w:hAnsi="Times New Roman"/>
          <w:sz w:val="23"/>
          <w:szCs w:val="23"/>
        </w:rPr>
        <w:t xml:space="preserve"> it is scored on:</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Origin and horizon.</w:t>
      </w:r>
      <w:r>
        <w:rPr>
          <w:rFonts w:ascii="Times New Roman" w:cs="Times New Roman" w:eastAsia="Times New Roman" w:hAnsi="Times New Roman"/>
          <w:sz w:val="23"/>
          <w:szCs w:val="23"/>
        </w:rPr>
        <w:t xml:space="preserve"> A forecast is made at the end of quarter </w:t>
      </w:r>
      <w:r>
        <w:rPr>
          <w:rFonts w:ascii="Times New Roman" w:cs="Times New Roman" w:eastAsia="Times New Roman" w:hAnsi="Times New Roman"/>
          <w:i/>
          <w:iCs/>
          <w:sz w:val="23"/>
          <w:szCs w:val="23"/>
        </w:rPr>
        <w:t xml:space="preserve">t</w:t>
      </w:r>
      <w:r>
        <w:rPr>
          <w:rFonts w:ascii="Times New Roman" w:cs="Times New Roman" w:eastAsia="Times New Roman" w:hAnsi="Times New Roman"/>
          <w:sz w:val="23"/>
          <w:szCs w:val="23"/>
        </w:rPr>
        <w:t xml:space="preserve"> using only rows with information up to </w:t>
      </w:r>
      <w:r>
        <w:rPr>
          <w:rFonts w:ascii="Times New Roman" w:cs="Times New Roman" w:eastAsia="Times New Roman" w:hAnsi="Times New Roman"/>
          <w:i/>
          <w:iCs/>
          <w:sz w:val="23"/>
          <w:szCs w:val="23"/>
        </w:rPr>
        <w:t xml:space="preserve">t</w:t>
      </w:r>
      <w:r>
        <w:rPr>
          <w:rFonts w:ascii="Times New Roman" w:cs="Times New Roman" w:eastAsia="Times New Roman" w:hAnsi="Times New Roman"/>
          <w:sz w:val="23"/>
          <w:szCs w:val="23"/>
        </w:rPr>
        <w:t xml:space="preserve">, and predicts the QoQ change in quarter </w:t>
      </w:r>
      <w:r>
        <w:rPr>
          <w:rFonts w:ascii="Times New Roman" w:cs="Times New Roman" w:eastAsia="Times New Roman" w:hAnsi="Times New Roman"/>
          <w:i/>
          <w:iCs/>
          <w:sz w:val="23"/>
          <w:szCs w:val="23"/>
        </w:rPr>
        <w:t xml:space="preserve">t + h</w:t>
      </w:r>
      <w:r>
        <w:rPr>
          <w:rFonts w:ascii="Times New Roman" w:cs="Times New Roman" w:eastAsia="Times New Roman" w:hAnsi="Times New Roman"/>
          <w:sz w:val="23"/>
          <w:szCs w:val="23"/>
        </w:rPr>
        <w:t xml:space="preserve"> for h = 1…4. Each horizon has its own </w:t>
      </w:r>
      <w:r>
        <w:rPr>
          <w:rFonts w:ascii="Times New Roman" w:cs="Times New Roman" w:eastAsia="Times New Roman" w:hAnsi="Times New Roman"/>
          <w:b/>
          <w:bCs/>
          <w:sz w:val="23"/>
          <w:szCs w:val="23"/>
        </w:rPr>
        <w:t xml:space="preserve">direct</w:t>
      </w:r>
      <w:r>
        <w:rPr>
          <w:rFonts w:ascii="Times New Roman" w:cs="Times New Roman" w:eastAsia="Times New Roman" w:hAnsi="Times New Roman"/>
          <w:sz w:val="23"/>
          <w:szCs w:val="23"/>
        </w:rPr>
        <w:t xml:space="preserve"> model; we never feed a forecast back in as an input. Recursive compounding was the root cause of A2's "runaway forecast" bug.</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What counts as an observation.</w:t>
      </w:r>
      <w:r>
        <w:rPr>
          <w:rFonts w:ascii="Times New Roman" w:cs="Times New Roman" w:eastAsia="Times New Roman" w:hAnsi="Times New Roman"/>
          <w:sz w:val="23"/>
          <w:szCs w:val="23"/>
        </w:rPr>
        <w:t xml:space="preserve"> A suburb-quarter is scored only if both it and the previous quarter have at least five sales. Below that, a "median" is one or two sales and the change is not meaningful.</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Headline universe.</w:t>
      </w:r>
      <w:r>
        <w:rPr>
          <w:rFonts w:ascii="Times New Roman" w:cs="Times New Roman" w:eastAsia="Times New Roman" w:hAnsi="Times New Roman"/>
          <w:sz w:val="23"/>
          <w:szCs w:val="23"/>
        </w:rPr>
        <w:t xml:space="preserve"> Following A2, headline results use the 555 </w:t>
      </w:r>
      <w:r>
        <w:rPr>
          <w:rFonts w:ascii="Times New Roman" w:cs="Times New Roman" w:eastAsia="Times New Roman" w:hAnsi="Times New Roman"/>
          <w:b/>
          <w:bCs/>
          <w:sz w:val="23"/>
          <w:szCs w:val="23"/>
        </w:rPr>
        <w:t xml:space="preserve">liquid</w:t>
      </w:r>
      <w:r>
        <w:rPr>
          <w:rFonts w:ascii="Times New Roman" w:cs="Times New Roman" w:eastAsia="Times New Roman" w:hAnsi="Times New Roman"/>
          <w:sz w:val="23"/>
          <w:szCs w:val="23"/>
        </w:rPr>
        <w:t xml:space="preserve"> suburbs (average of at least 20 sales per quarter before the test window; defined using pre-test data only, so the universe itself does not peek ahead). Results for all 1,165 scored suburbs are also reported.</w:t>
      </w:r>
    </w:p>
    <w:p>
      <w:pPr>
        <w:spacing w:after="100" w:before="0" w:line="252"/>
        <w:jc w:val="both"/>
      </w:pPr>
      <w:r>
        <w:rPr>
          <w:rFonts w:ascii="Times New Roman" w:cs="Times New Roman" w:eastAsia="Times New Roman" w:hAnsi="Times New Roman"/>
          <w:sz w:val="23"/>
          <w:szCs w:val="23"/>
        </w:rPr>
        <w:t xml:space="preserve">Models are trained on </w:t>
      </w:r>
      <w:r>
        <w:rPr>
          <w:rFonts w:ascii="Times New Roman" w:cs="Times New Roman" w:eastAsia="Times New Roman" w:hAnsi="Times New Roman"/>
          <w:b/>
          <w:bCs/>
          <w:sz w:val="23"/>
          <w:szCs w:val="23"/>
        </w:rPr>
        <w:t xml:space="preserve">all</w:t>
      </w:r>
      <w:r>
        <w:rPr>
          <w:rFonts w:ascii="Times New Roman" w:cs="Times New Roman" w:eastAsia="Times New Roman" w:hAnsi="Times New Roman"/>
          <w:sz w:val="23"/>
          <w:szCs w:val="23"/>
        </w:rPr>
        <w:t xml:space="preserve"> scored suburbs, not just liquid ones, and weighted by √n (capped at n = 100), where n is the number of sales behind the target median. The weighting has a statistical justification: the sampling variance of a median falls roughly as 1/n, so a change computed from 200 sales deserves more say than one from 6.</w:t>
      </w:r>
    </w:p>
    <w:p>
      <w:pPr>
        <w:pStyle w:val="Heading3"/>
        <w:keepNext/>
        <w:spacing w:after="60" w:before="140"/>
      </w:pPr>
      <w:r>
        <w:rPr>
          <w:rFonts w:ascii="Times New Roman" w:cs="Times New Roman" w:eastAsia="Times New Roman" w:hAnsi="Times New Roman"/>
        </w:rPr>
        <w:t xml:space="preserve">3.5.2 Validation Design</w:t>
      </w:r>
    </w:p>
    <w:p>
      <w:pPr>
        <w:spacing w:after="100" w:before="0" w:line="252"/>
        <w:jc w:val="both"/>
      </w:pPr>
      <w:r>
        <w:rPr>
          <w:rFonts w:ascii="Times New Roman" w:cs="Times New Roman" w:eastAsia="Times New Roman" w:hAnsi="Times New Roman"/>
          <w:sz w:val="23"/>
          <w:szCs w:val="23"/>
        </w:rPr>
        <w:t xml:space="preserve">The most important methodological decision in A4 was to separate </w:t>
      </w:r>
      <w:r>
        <w:rPr>
          <w:rFonts w:ascii="Times New Roman" w:cs="Times New Roman" w:eastAsia="Times New Roman" w:hAnsi="Times New Roman"/>
          <w:i/>
          <w:iCs/>
          <w:sz w:val="23"/>
          <w:szCs w:val="23"/>
        </w:rPr>
        <w:t xml:space="preserve">choosing</w:t>
      </w:r>
      <w:r>
        <w:rPr>
          <w:rFonts w:ascii="Times New Roman" w:cs="Times New Roman" w:eastAsia="Times New Roman" w:hAnsi="Times New Roman"/>
          <w:sz w:val="23"/>
          <w:szCs w:val="23"/>
        </w:rPr>
        <w:t xml:space="preserve"> a model from </w:t>
      </w:r>
      <w:r>
        <w:rPr>
          <w:rFonts w:ascii="Times New Roman" w:cs="Times New Roman" w:eastAsia="Times New Roman" w:hAnsi="Times New Roman"/>
          <w:i/>
          <w:iCs/>
          <w:sz w:val="23"/>
          <w:szCs w:val="23"/>
        </w:rPr>
        <w:t xml:space="preserve">scoring</w:t>
      </w:r>
      <w:r>
        <w:rPr>
          <w:rFonts w:ascii="Times New Roman" w:cs="Times New Roman" w:eastAsia="Times New Roman" w:hAnsi="Times New Roman"/>
          <w:sz w:val="23"/>
          <w:szCs w:val="23"/>
        </w:rPr>
        <w:t xml:space="preserve"> it. The timeline is split three ways (Figure A4.4). Design choices and hyper-parameters were chosen using only a validation window (2022-Q3 to 2024-Q2). The champion was then fixed, and the eight test quarters (2024-Q3 to 2026-Q2) were scored once with every model re-trained at every forecast origin on an expanding window. This avoids the quiet optimism that creeps in when the same holdout is used to tune and to report.</w:t>
      </w:r>
    </w:p>
    <w:p>
      <w:pPr>
        <w:keepNext/>
        <w:spacing w:after="20" w:before="60"/>
        <w:jc w:val="center"/>
      </w:pPr>
      <w:r>
        <w:drawing>
          <wp:inline distT="0" distB="0" distL="0" distR="0">
            <wp:extent cx="5715000" cy="1609725"/>
            <wp:effectExtent t="0" r="0" b="0" l="0"/>
            <wp:docPr id="1" name="fig_timeline.png" descr="Train / validation / test design. The test window is never used for any modelling decision." title="Train / validation / test design. The test window is never 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09725"/>
                    </a:xfrm>
                    <a:prstGeom prst="rect">
                      <a:avLst/>
                    </a:prstGeom>
                  </pic:spPr>
                </pic:pic>
              </a:graphicData>
            </a:graphic>
          </wp:inline>
        </w:drawing>
      </w:r>
    </w:p>
    <w:p>
      <w:pPr>
        <w:keepNext w:val="false"/>
        <w:spacing w:after="140" w:before="40"/>
        <w:jc w:val="center"/>
      </w:pPr>
      <w:r>
        <w:rPr>
          <w:rFonts w:ascii="Times New Roman" w:cs="Times New Roman" w:eastAsia="Times New Roman" w:hAnsi="Times New Roman"/>
          <w:b/>
          <w:bCs/>
          <w:sz w:val="20"/>
          <w:szCs w:val="20"/>
        </w:rPr>
        <w:t xml:space="preserve">Figure A4.4 — </w:t>
      </w:r>
      <w:r>
        <w:rPr>
          <w:rFonts w:ascii="Times New Roman" w:cs="Times New Roman" w:eastAsia="Times New Roman" w:hAnsi="Times New Roman"/>
          <w:i/>
          <w:iCs/>
          <w:sz w:val="20"/>
          <w:szCs w:val="20"/>
        </w:rPr>
        <w:t xml:space="preserve">Train / validation / test design. The test window is never used for any modelling decision.</w:t>
      </w:r>
    </w:p>
    <w:p>
      <w:pPr>
        <w:pStyle w:val="Heading3"/>
        <w:keepNext/>
        <w:spacing w:after="60" w:before="140"/>
      </w:pPr>
      <w:r>
        <w:rPr>
          <w:rFonts w:ascii="Times New Roman" w:cs="Times New Roman" w:eastAsia="Times New Roman" w:hAnsi="Times New Roman"/>
        </w:rPr>
        <w:t xml:space="preserve">3.5.3 Model Families and Tuning</w:t>
      </w:r>
    </w:p>
    <w:p>
      <w:pPr>
        <w:spacing w:after="100" w:before="0" w:line="252"/>
        <w:jc w:val="both"/>
      </w:pPr>
      <w:r>
        <w:rPr>
          <w:rFonts w:ascii="Times New Roman" w:cs="Times New Roman" w:eastAsia="Times New Roman" w:hAnsi="Times New Roman"/>
          <w:sz w:val="23"/>
          <w:szCs w:val="23"/>
        </w:rPr>
        <w:t xml:space="preserve">We compared twelve models from four families on identical suburb-quarters (Table A4.7). Four are </w:t>
      </w:r>
      <w:r>
        <w:rPr>
          <w:rFonts w:ascii="Times New Roman" w:cs="Times New Roman" w:eastAsia="Times New Roman" w:hAnsi="Times New Roman"/>
          <w:b/>
          <w:bCs/>
          <w:sz w:val="23"/>
          <w:szCs w:val="23"/>
        </w:rPr>
        <w:t xml:space="preserve">baselines</w:t>
      </w:r>
      <w:r>
        <w:rPr>
          <w:rFonts w:ascii="Times New Roman" w:cs="Times New Roman" w:eastAsia="Times New Roman" w:hAnsi="Times New Roman"/>
          <w:sz w:val="23"/>
          <w:szCs w:val="23"/>
        </w:rPr>
        <w:t xml:space="preserve"> that any useful model must beat. Two are the </w:t>
      </w:r>
      <w:r>
        <w:rPr>
          <w:rFonts w:ascii="Times New Roman" w:cs="Times New Roman" w:eastAsia="Times New Roman" w:hAnsi="Times New Roman"/>
          <w:b/>
          <w:bCs/>
          <w:sz w:val="23"/>
          <w:szCs w:val="23"/>
        </w:rPr>
        <w:t xml:space="preserve">per-suburb statistical models</w:t>
      </w:r>
      <w:r>
        <w:rPr>
          <w:rFonts w:ascii="Times New Roman" w:cs="Times New Roman" w:eastAsia="Times New Roman" w:hAnsi="Times New Roman"/>
          <w:sz w:val="23"/>
          <w:szCs w:val="23"/>
        </w:rPr>
        <w:t xml:space="preserve"> from A2 (SARIMA and Prophet), re-run on the A4 window. One is the </w:t>
      </w:r>
      <w:r>
        <w:rPr>
          <w:rFonts w:ascii="Times New Roman" w:cs="Times New Roman" w:eastAsia="Times New Roman" w:hAnsi="Times New Roman"/>
          <w:b/>
          <w:bCs/>
          <w:sz w:val="23"/>
          <w:szCs w:val="23"/>
        </w:rPr>
        <w:t xml:space="preserve">A2 Gradient Boosting model</w:t>
      </w:r>
      <w:r>
        <w:rPr>
          <w:rFonts w:ascii="Times New Roman" w:cs="Times New Roman" w:eastAsia="Times New Roman" w:hAnsi="Times New Roman"/>
          <w:sz w:val="23"/>
          <w:szCs w:val="23"/>
        </w:rPr>
        <w:t xml:space="preserve"> with its original configuration and feature set, re-trained at every origin so A4's improvement over A2 is measured, not asserted. The remaining five are </w:t>
      </w:r>
      <w:r>
        <w:rPr>
          <w:rFonts w:ascii="Times New Roman" w:cs="Times New Roman" w:eastAsia="Times New Roman" w:hAnsi="Times New Roman"/>
          <w:b/>
          <w:bCs/>
          <w:sz w:val="23"/>
          <w:szCs w:val="23"/>
        </w:rPr>
        <w:t xml:space="preserve">pooled machine-learning models</w:t>
      </w:r>
      <w:r>
        <w:rPr>
          <w:rFonts w:ascii="Times New Roman" w:cs="Times New Roman" w:eastAsia="Times New Roman" w:hAnsi="Times New Roman"/>
          <w:sz w:val="23"/>
          <w:szCs w:val="23"/>
        </w:rPr>
        <w:t xml:space="preserve"> trained across all suburbs at once: Ridge, Random Forest (Breiman, 2001), XGBoost (Chen &amp; Guestrin, 2016), LightGBM (Ke et al., 2017) and an equal-weight ensemble of the three tree models.</w:t>
      </w:r>
    </w:p>
    <w:p>
      <w:pPr>
        <w:keepNext/>
        <w:spacing w:after="140" w:before="40"/>
        <w:jc w:val="center"/>
      </w:pPr>
      <w:r>
        <w:rPr>
          <w:rFonts w:ascii="Times New Roman" w:cs="Times New Roman" w:eastAsia="Times New Roman" w:hAnsi="Times New Roman"/>
          <w:b/>
          <w:bCs/>
          <w:sz w:val="20"/>
          <w:szCs w:val="20"/>
        </w:rPr>
        <w:t xml:space="preserve">Table A4.7 — </w:t>
      </w:r>
      <w:r>
        <w:rPr>
          <w:rFonts w:ascii="Times New Roman" w:cs="Times New Roman" w:eastAsia="Times New Roman" w:hAnsi="Times New Roman"/>
          <w:i/>
          <w:iCs/>
          <w:sz w:val="20"/>
          <w:szCs w:val="20"/>
        </w:rPr>
        <w:t xml:space="preserve">The twelve models. Validation scores are for h = 1 on liquid suburbs (N = 4,437) and drove the choice of champion.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4038"/>
        <w:gridCol w:w="1100"/>
        <w:gridCol w:w="1100"/>
      </w:tblGrid>
      <w:tr>
        <w:trPr>
          <w:cantSplit/>
          <w:tblHeader/>
        </w:trPr>
        <w:tc>
          <w:tcPr>
            <w:tcW w:type="dxa" w:w="19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7"/>
                <w:szCs w:val="17"/>
              </w:rPr>
              <w:t xml:space="preserve">Model</w:t>
            </w:r>
          </w:p>
        </w:tc>
        <w:tc>
          <w:tcPr>
            <w:tcW w:type="dxa" w:w="15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7"/>
                <w:szCs w:val="17"/>
              </w:rPr>
              <w:t xml:space="preserve">Family</w:t>
            </w:r>
          </w:p>
        </w:tc>
        <w:tc>
          <w:tcPr>
            <w:tcW w:type="dxa" w:w="4038"/>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7"/>
                <w:szCs w:val="17"/>
              </w:rPr>
              <w:t xml:space="preserve">Key settings (selected on validation)</w:t>
            </w:r>
          </w:p>
        </w:tc>
        <w:tc>
          <w:tcPr>
            <w:tcW w:type="dxa" w:w="11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7"/>
                <w:szCs w:val="17"/>
              </w:rPr>
              <w:t xml:space="preserve">Val. RMSE</w:t>
            </w:r>
          </w:p>
        </w:tc>
        <w:tc>
          <w:tcPr>
            <w:tcW w:type="dxa" w:w="11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7"/>
                <w:szCs w:val="17"/>
              </w:rPr>
              <w:t xml:space="preserve">Val. MAE</w:t>
            </w:r>
          </w:p>
        </w:tc>
      </w:tr>
      <w:tr>
        <w:trPr>
          <w:cantSplit/>
          <w:tblHeader w:val="false"/>
        </w:trPr>
        <w:tc>
          <w:tcPr>
            <w:tcW w:type="dxa" w:w="1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Naive persistence</w:t>
            </w:r>
          </w:p>
        </w:tc>
        <w:tc>
          <w:tcPr>
            <w:tcW w:type="dxa" w:w="1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Baseline</w:t>
            </w:r>
          </w:p>
        </w:tc>
        <w:tc>
          <w:tcPr>
            <w:tcW w:type="dxa" w:w="40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Next QoQ = this QoQ</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w:t>
            </w:r>
          </w:p>
        </w:tc>
      </w:tr>
      <w:tr>
        <w:trPr>
          <w:cantSplit/>
          <w:tblHeader w:val="false"/>
        </w:trPr>
        <w:tc>
          <w:tcPr>
            <w:tcW w:type="dxa" w:w="19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Seasonal naive</w:t>
            </w:r>
          </w:p>
        </w:tc>
        <w:tc>
          <w:tcPr>
            <w:tcW w:type="dxa" w:w="15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Baseline</w:t>
            </w:r>
          </w:p>
        </w:tc>
        <w:tc>
          <w:tcPr>
            <w:tcW w:type="dxa" w:w="40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Next QoQ = same quarter last year</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w:t>
            </w:r>
          </w:p>
        </w:tc>
      </w:tr>
      <w:tr>
        <w:trPr>
          <w:cantSplit/>
          <w:tblHeader w:val="false"/>
        </w:trPr>
        <w:tc>
          <w:tcPr>
            <w:tcW w:type="dxa" w:w="1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Historical mean</w:t>
            </w:r>
          </w:p>
        </w:tc>
        <w:tc>
          <w:tcPr>
            <w:tcW w:type="dxa" w:w="1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Baseline</w:t>
            </w:r>
          </w:p>
        </w:tc>
        <w:tc>
          <w:tcPr>
            <w:tcW w:type="dxa" w:w="40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8-quarter mean QoQ of the suburb</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w:t>
            </w:r>
          </w:p>
        </w:tc>
      </w:tr>
      <w:tr>
        <w:trPr>
          <w:cantSplit/>
          <w:tblHeader w:val="false"/>
        </w:trPr>
        <w:tc>
          <w:tcPr>
            <w:tcW w:type="dxa" w:w="19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Regional momentum</w:t>
            </w:r>
          </w:p>
        </w:tc>
        <w:tc>
          <w:tcPr>
            <w:tcW w:type="dxa" w:w="15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Baseline</w:t>
            </w:r>
          </w:p>
        </w:tc>
        <w:tc>
          <w:tcPr>
            <w:tcW w:type="dxa" w:w="40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4-quarter mean QoQ of the region's median</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w:t>
            </w:r>
          </w:p>
        </w:tc>
      </w:tr>
      <w:tr>
        <w:trPr>
          <w:cantSplit/>
          <w:tblHeader w:val="false"/>
        </w:trPr>
        <w:tc>
          <w:tcPr>
            <w:tcW w:type="dxa" w:w="1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SARIMA</w:t>
            </w:r>
          </w:p>
        </w:tc>
        <w:tc>
          <w:tcPr>
            <w:tcW w:type="dxa" w:w="1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Per-suburb statistical</w:t>
            </w:r>
          </w:p>
        </w:tc>
        <w:tc>
          <w:tcPr>
            <w:tcW w:type="dxa" w:w="40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(1,0,1)(1,0,0)₄ with constant; fitted per suburb per origin</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w:t>
            </w:r>
          </w:p>
        </w:tc>
      </w:tr>
      <w:tr>
        <w:trPr>
          <w:cantSplit/>
          <w:tblHeader w:val="false"/>
        </w:trPr>
        <w:tc>
          <w:tcPr>
            <w:tcW w:type="dxa" w:w="19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Prophet</w:t>
            </w:r>
          </w:p>
        </w:tc>
        <w:tc>
          <w:tcPr>
            <w:tcW w:type="dxa" w:w="15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Per-suburb statistical</w:t>
            </w:r>
          </w:p>
        </w:tc>
        <w:tc>
          <w:tcPr>
            <w:tcW w:type="dxa" w:w="40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Yearly seasonality; 150-suburb stratified sample</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w:t>
            </w:r>
          </w:p>
        </w:tc>
      </w:tr>
      <w:tr>
        <w:trPr>
          <w:cantSplit/>
          <w:tblHeader w:val="false"/>
        </w:trPr>
        <w:tc>
          <w:tcPr>
            <w:tcW w:type="dxa" w:w="1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A2 Gradient Boosting</w:t>
            </w:r>
          </w:p>
        </w:tc>
        <w:tc>
          <w:tcPr>
            <w:tcW w:type="dxa" w:w="1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Pooled ML (A2)</w:t>
            </w:r>
          </w:p>
        </w:tc>
        <w:tc>
          <w:tcPr>
            <w:tcW w:type="dxa" w:w="40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sklearn GBR, 200 trees, depth 3, lr 0.05, squared loss, A2 features</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w:t>
            </w:r>
          </w:p>
        </w:tc>
      </w:tr>
      <w:tr>
        <w:trPr>
          <w:cantSplit/>
          <w:tblHeader w:val="false"/>
        </w:trPr>
        <w:tc>
          <w:tcPr>
            <w:tcW w:type="dxa" w:w="19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Ridge</w:t>
            </w:r>
          </w:p>
        </w:tc>
        <w:tc>
          <w:tcPr>
            <w:tcW w:type="dxa" w:w="15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Pooled linear</w:t>
            </w:r>
          </w:p>
        </w:tc>
        <w:tc>
          <w:tcPr>
            <w:tcW w:type="dxa" w:w="40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α = 1000, standardised, missing-value indicators</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14.88</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9.66</w:t>
            </w:r>
          </w:p>
        </w:tc>
      </w:tr>
      <w:tr>
        <w:trPr>
          <w:cantSplit/>
          <w:tblHeader w:val="false"/>
        </w:trPr>
        <w:tc>
          <w:tcPr>
            <w:tcW w:type="dxa" w:w="1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Random forest</w:t>
            </w:r>
          </w:p>
        </w:tc>
        <w:tc>
          <w:tcPr>
            <w:tcW w:type="dxa" w:w="1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Pooled ML</w:t>
            </w:r>
          </w:p>
        </w:tc>
        <w:tc>
          <w:tcPr>
            <w:tcW w:type="dxa" w:w="40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Depth 16, min leaf 20, 50% features</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14.61</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9.46</w:t>
            </w:r>
          </w:p>
        </w:tc>
      </w:tr>
      <w:tr>
        <w:trPr>
          <w:cantSplit/>
          <w:tblHeader w:val="false"/>
        </w:trPr>
        <w:tc>
          <w:tcPr>
            <w:tcW w:type="dxa" w:w="19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XGBoost</w:t>
            </w:r>
          </w:p>
        </w:tc>
        <w:tc>
          <w:tcPr>
            <w:tcW w:type="dxa" w:w="15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Pooled ML</w:t>
            </w:r>
          </w:p>
        </w:tc>
        <w:tc>
          <w:tcPr>
            <w:tcW w:type="dxa" w:w="40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600 trees, depth 6, lr 0.02, pseudo-Huber (slope 25), λ = 20</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14.65</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9.48</w:t>
            </w:r>
          </w:p>
        </w:tc>
      </w:tr>
      <w:tr>
        <w:trPr>
          <w:cantSplit/>
          <w:tblHeader w:val="false"/>
        </w:trPr>
        <w:tc>
          <w:tcPr>
            <w:tcW w:type="dxa" w:w="1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7"/>
                <w:szCs w:val="17"/>
              </w:rPr>
              <w:t xml:space="preserve">LightGBM (champion)</w:t>
            </w:r>
          </w:p>
        </w:tc>
        <w:tc>
          <w:tcPr>
            <w:tcW w:type="dxa" w:w="1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Pooled ML</w:t>
            </w:r>
          </w:p>
        </w:tc>
        <w:tc>
          <w:tcPr>
            <w:tcW w:type="dxa" w:w="40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600 trees, 15 leaves, lr 0.03, Huber (α = 25), λ = 5</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7"/>
                <w:szCs w:val="17"/>
              </w:rPr>
              <w:t xml:space="preserve">14.61</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7"/>
                <w:szCs w:val="17"/>
              </w:rPr>
              <w:t xml:space="preserve">9.46</w:t>
            </w:r>
          </w:p>
        </w:tc>
      </w:tr>
      <w:tr>
        <w:trPr>
          <w:cantSplit/>
          <w:tblHeader w:val="false"/>
        </w:trPr>
        <w:tc>
          <w:tcPr>
            <w:tcW w:type="dxa" w:w="19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Ensemble</w:t>
            </w:r>
          </w:p>
        </w:tc>
        <w:tc>
          <w:tcPr>
            <w:tcW w:type="dxa" w:w="15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Pooled ML</w:t>
            </w:r>
          </w:p>
        </w:tc>
        <w:tc>
          <w:tcPr>
            <w:tcW w:type="dxa" w:w="40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Mean of LightGBM, XGBoost, Random forest</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w:t>
            </w:r>
          </w:p>
        </w:tc>
      </w:tr>
    </w:tbl>
    <w:p>
      <w:pPr>
        <w:spacing w:after="80"/>
      </w:pPr>
    </w:p>
    <w:p>
      <w:pPr>
        <w:spacing w:after="100" w:before="0" w:line="252"/>
        <w:jc w:val="both"/>
      </w:pPr>
      <w:r>
        <w:rPr>
          <w:rFonts w:ascii="Times New Roman" w:cs="Times New Roman" w:eastAsia="Times New Roman" w:hAnsi="Times New Roman"/>
          <w:sz w:val="23"/>
          <w:szCs w:val="23"/>
        </w:rPr>
        <w:t xml:space="preserve">Before tuning hyper-parameters, we tested four design choices in a 16-run factorial experiment with a default LightGBM: training universe (all vs liquid suburbs), √n weighting, winsorising the training target at the 1st/99th percentiles, and squared vs Huber loss. </w:t>
      </w:r>
      <w:r>
        <w:rPr>
          <w:rFonts w:ascii="Times New Roman" w:cs="Times New Roman" w:eastAsia="Times New Roman" w:hAnsi="Times New Roman"/>
          <w:b/>
          <w:bCs/>
          <w:sz w:val="23"/>
          <w:szCs w:val="23"/>
        </w:rPr>
        <w:t xml:space="preserve">Huber loss was the clearest win</w:t>
      </w:r>
      <w:r>
        <w:rPr>
          <w:rFonts w:ascii="Times New Roman" w:cs="Times New Roman" w:eastAsia="Times New Roman" w:hAnsi="Times New Roman"/>
          <w:sz w:val="23"/>
          <w:szCs w:val="23"/>
        </w:rPr>
        <w:t xml:space="preserve"> (validation RMSE 15.38 → 14.64 pp with everything else at default). That makes sense for a target with a long tail of thin-market artefacts (the +4,066% cell excluded by hand in A2 is the extreme case): Huber loss treats large residuals linearly rather than quadratically, so a handful of artefacts cannot drag the fit. Training on all suburbs beat training on liquid suburbs only, and weighting improved MAE. Winsorising added little once Huber loss was used, so we dropped it rather than carry an extra data-dependent threshold. A random search (20 LightGBM, 14 XGBoost, 4 Random Forest and 4 Ridge configurations) then set the parameters in Table A4.7. LightGBM had the best validation RMSE and was fixed as champion. Random Forest and XGBoost were within 0.05 pp, an early sign that model choice would matter less than data design.</w:t>
      </w:r>
    </w:p>
    <w:p>
      <w:pPr>
        <w:pStyle w:val="Heading3"/>
        <w:keepNext/>
        <w:spacing w:after="60" w:before="140"/>
      </w:pPr>
      <w:r>
        <w:rPr>
          <w:rFonts w:ascii="Times New Roman" w:cs="Times New Roman" w:eastAsia="Times New Roman" w:hAnsi="Times New Roman"/>
        </w:rPr>
        <w:t xml:space="preserve">3.5.4 Calibrated Uncertainty</w:t>
      </w:r>
    </w:p>
    <w:p>
      <w:pPr>
        <w:spacing w:after="100" w:before="0" w:line="252"/>
        <w:jc w:val="both"/>
      </w:pPr>
      <w:r>
        <w:rPr>
          <w:rFonts w:ascii="Times New Roman" w:cs="Times New Roman" w:eastAsia="Times New Roman" w:hAnsi="Times New Roman"/>
          <w:sz w:val="23"/>
          <w:szCs w:val="23"/>
        </w:rPr>
        <w:t xml:space="preserve">A2 promised a 10th–90th percentile range with every forecast but delivered a heuristic (a ±12 pp cap and 30% decay). A4 replaces it with </w:t>
      </w:r>
      <w:r>
        <w:rPr>
          <w:rFonts w:ascii="Times New Roman" w:cs="Times New Roman" w:eastAsia="Times New Roman" w:hAnsi="Times New Roman"/>
          <w:b/>
          <w:bCs/>
          <w:sz w:val="23"/>
          <w:szCs w:val="23"/>
        </w:rPr>
        <w:t xml:space="preserve">conformalised quantile regression</w:t>
      </w:r>
      <w:r>
        <w:rPr>
          <w:rFonts w:ascii="Times New Roman" w:cs="Times New Roman" w:eastAsia="Times New Roman" w:hAnsi="Times New Roman"/>
          <w:sz w:val="23"/>
          <w:szCs w:val="23"/>
        </w:rPr>
        <w:t xml:space="preserve"> (CQR; Romano et al., 2019). Two LightGBM models are trained with the pinball loss for the 10th and 90th percentiles on all but the most recent four quarters of observed targets. Their errors on those four held-back quarters then give a single correction that widens (or narrows) the band so that, by construction, about 80% of outcomes should fall inside. Because CQR wraps quantile models, the band is naturally </w:t>
      </w:r>
      <w:r>
        <w:rPr>
          <w:rFonts w:ascii="Times New Roman" w:cs="Times New Roman" w:eastAsia="Times New Roman" w:hAnsi="Times New Roman"/>
          <w:b/>
          <w:bCs/>
          <w:sz w:val="23"/>
          <w:szCs w:val="23"/>
        </w:rPr>
        <w:t xml:space="preserve">wider for thin, volatile suburbs and narrower for liquid ones</w:t>
      </w:r>
      <w:r>
        <w:rPr>
          <w:rFonts w:ascii="Times New Roman" w:cs="Times New Roman" w:eastAsia="Times New Roman" w:hAnsi="Times New Roman"/>
          <w:sz w:val="23"/>
          <w:szCs w:val="23"/>
        </w:rPr>
        <w:t xml:space="preserve">, exactly the behaviour a user needs. The production price path uses the same machinery on direct cumulative-change targets, so the band on a one-year-ahead price is a calibrated interval in its own right, not four one-quarter bands multiplied together.</w:t>
      </w:r>
    </w:p>
    <w:p>
      <w:pPr>
        <w:pStyle w:val="Heading2"/>
        <w:keepNext/>
        <w:spacing w:after="80" w:before="200"/>
      </w:pPr>
      <w:r>
        <w:rPr>
          <w:rFonts w:ascii="Times New Roman" w:cs="Times New Roman" w:eastAsia="Times New Roman" w:hAnsi="Times New Roman"/>
        </w:rPr>
        <w:t xml:space="preserve">3.6 System Evaluation and Performance Analysis</w:t>
      </w:r>
    </w:p>
    <w:p>
      <w:pPr>
        <w:pStyle w:val="Heading3"/>
        <w:keepNext/>
        <w:spacing w:after="60" w:before="140"/>
      </w:pPr>
      <w:r>
        <w:rPr>
          <w:rFonts w:ascii="Times New Roman" w:cs="Times New Roman" w:eastAsia="Times New Roman" w:hAnsi="Times New Roman"/>
        </w:rPr>
        <w:t xml:space="preserve">3.6.1 Headline Results</w:t>
      </w:r>
    </w:p>
    <w:p>
      <w:pPr>
        <w:spacing w:after="100" w:before="0" w:line="252"/>
        <w:jc w:val="both"/>
      </w:pPr>
      <w:r>
        <w:rPr>
          <w:rFonts w:ascii="Times New Roman" w:cs="Times New Roman" w:eastAsia="Times New Roman" w:hAnsi="Times New Roman"/>
          <w:sz w:val="23"/>
          <w:szCs w:val="23"/>
        </w:rPr>
        <w:t xml:space="preserve">Table A4.8 is the main result: all twelve models scored on exactly the same 4,435 suburb-quarters (liquid suburbs, one quarter ahead, eight test quarters). Prophet was run on a stratified 150-suburb sample for cost reasons, so it is compared separately in Table A4.9.</w:t>
      </w:r>
    </w:p>
    <w:p>
      <w:pPr>
        <w:keepNext/>
        <w:spacing w:after="140" w:before="40"/>
        <w:jc w:val="center"/>
      </w:pPr>
      <w:r>
        <w:rPr>
          <w:rFonts w:ascii="Times New Roman" w:cs="Times New Roman" w:eastAsia="Times New Roman" w:hAnsi="Times New Roman"/>
          <w:b/>
          <w:bCs/>
          <w:sz w:val="20"/>
          <w:szCs w:val="20"/>
        </w:rPr>
        <w:t xml:space="preserve">Table A4.8 — </w:t>
      </w:r>
      <w:r>
        <w:rPr>
          <w:rFonts w:ascii="Times New Roman" w:cs="Times New Roman" w:eastAsia="Times New Roman" w:hAnsi="Times New Roman"/>
          <w:i/>
          <w:iCs/>
          <w:sz w:val="20"/>
          <w:szCs w:val="20"/>
        </w:rPr>
        <w:t xml:space="preserve">Common-window back-test, h = 1, liquid suburbs (N = 4,435, 555 suburbs, 2024-Q3 to 2026-Q2). Sorted by RMSE.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100"/>
        <w:gridCol w:w="1150"/>
        <w:gridCol w:w="1000"/>
        <w:gridCol w:w="1350"/>
        <w:gridCol w:w="1238"/>
      </w:tblGrid>
      <w:tr>
        <w:trPr>
          <w:cantSplit/>
          <w:tblHeader/>
        </w:trPr>
        <w:tc>
          <w:tcPr>
            <w:tcW w:type="dxa" w:w="27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7"/>
                <w:szCs w:val="17"/>
              </w:rPr>
              <w:t xml:space="preserve">Model</w:t>
            </w:r>
          </w:p>
        </w:tc>
        <w:tc>
          <w:tcPr>
            <w:tcW w:type="dxa" w:w="11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7"/>
                <w:szCs w:val="17"/>
              </w:rPr>
              <w:t xml:space="preserve">RMSE (pp)</w:t>
            </w:r>
          </w:p>
        </w:tc>
        <w:tc>
          <w:tcPr>
            <w:tcW w:type="dxa" w:w="11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7"/>
                <w:szCs w:val="17"/>
              </w:rPr>
              <w:t xml:space="preserve">MAE (pp)</w:t>
            </w:r>
          </w:p>
        </w:tc>
        <w:tc>
          <w:tcPr>
            <w:tcW w:type="dxa" w:w="115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7"/>
                <w:szCs w:val="17"/>
              </w:rPr>
              <w:t xml:space="preserve">Median AE</w:t>
            </w:r>
          </w:p>
        </w:tc>
        <w:tc>
          <w:tcPr>
            <w:tcW w:type="dxa" w:w="10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7"/>
                <w:szCs w:val="17"/>
              </w:rPr>
              <w:t xml:space="preserve">R²</w:t>
            </w:r>
          </w:p>
        </w:tc>
        <w:tc>
          <w:tcPr>
            <w:tcW w:type="dxa" w:w="135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7"/>
                <w:szCs w:val="17"/>
              </w:rPr>
              <w:t xml:space="preserve">Direction ✓ (%)</w:t>
            </w:r>
          </w:p>
        </w:tc>
        <w:tc>
          <w:tcPr>
            <w:tcW w:type="dxa" w:w="1238"/>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7"/>
                <w:szCs w:val="17"/>
              </w:rPr>
              <w:t xml:space="preserve">RMSE vs naive</w:t>
            </w:r>
          </w:p>
        </w:tc>
      </w:tr>
      <w:tr>
        <w:trPr>
          <w:cantSplit/>
          <w:tblHeader w:val="false"/>
        </w:trPr>
        <w:tc>
          <w:tcPr>
            <w:tcW w:type="dxa" w:w="27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Ensemble (LGBM+XGB+RF)</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12.79</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8.33</w:t>
            </w:r>
          </w:p>
        </w:tc>
        <w:tc>
          <w:tcPr>
            <w:tcW w:type="dxa" w:w="11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5.50</w:t>
            </w:r>
          </w:p>
        </w:tc>
        <w:tc>
          <w:tcPr>
            <w:tcW w:type="dxa" w:w="1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0.379</w:t>
            </w:r>
          </w:p>
        </w:tc>
        <w:tc>
          <w:tcPr>
            <w:tcW w:type="dxa" w:w="13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66.7</w:t>
            </w:r>
          </w:p>
        </w:tc>
        <w:tc>
          <w:tcPr>
            <w:tcW w:type="dxa" w:w="12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−53.3%</w:t>
            </w:r>
          </w:p>
        </w:tc>
      </w:tr>
      <w:tr>
        <w:trPr>
          <w:cantSplit/>
          <w:tblHeader w:val="false"/>
        </w:trPr>
        <w:tc>
          <w:tcPr>
            <w:tcW w:type="dxa" w:w="27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Random forest</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12.79</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8.35</w:t>
            </w:r>
          </w:p>
        </w:tc>
        <w:tc>
          <w:tcPr>
            <w:tcW w:type="dxa" w:w="11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5.52</w:t>
            </w:r>
          </w:p>
        </w:tc>
        <w:tc>
          <w:tcPr>
            <w:tcW w:type="dxa" w:w="1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0.379</w:t>
            </w:r>
          </w:p>
        </w:tc>
        <w:tc>
          <w:tcPr>
            <w:tcW w:type="dxa" w:w="13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67.4</w:t>
            </w:r>
          </w:p>
        </w:tc>
        <w:tc>
          <w:tcPr>
            <w:tcW w:type="dxa" w:w="12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−53.3%</w:t>
            </w:r>
          </w:p>
        </w:tc>
      </w:tr>
      <w:tr>
        <w:trPr>
          <w:cantSplit/>
          <w:tblHeader w:val="false"/>
        </w:trPr>
        <w:tc>
          <w:tcPr>
            <w:tcW w:type="dxa" w:w="27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XGBoost</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12.81</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8.35</w:t>
            </w:r>
          </w:p>
        </w:tc>
        <w:tc>
          <w:tcPr>
            <w:tcW w:type="dxa" w:w="11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5.56</w:t>
            </w:r>
          </w:p>
        </w:tc>
        <w:tc>
          <w:tcPr>
            <w:tcW w:type="dxa" w:w="1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0.377</w:t>
            </w:r>
          </w:p>
        </w:tc>
        <w:tc>
          <w:tcPr>
            <w:tcW w:type="dxa" w:w="13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66.5</w:t>
            </w:r>
          </w:p>
        </w:tc>
        <w:tc>
          <w:tcPr>
            <w:tcW w:type="dxa" w:w="12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−53.2%</w:t>
            </w:r>
          </w:p>
        </w:tc>
      </w:tr>
      <w:tr>
        <w:trPr>
          <w:cantSplit/>
          <w:tblHeader w:val="false"/>
        </w:trPr>
        <w:tc>
          <w:tcPr>
            <w:tcW w:type="dxa" w:w="27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7"/>
                <w:szCs w:val="17"/>
              </w:rPr>
              <w:t xml:space="preserve">LightGBM (champion)</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12.89</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8.36</w:t>
            </w:r>
          </w:p>
        </w:tc>
        <w:tc>
          <w:tcPr>
            <w:tcW w:type="dxa" w:w="11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5.64</w:t>
            </w:r>
          </w:p>
        </w:tc>
        <w:tc>
          <w:tcPr>
            <w:tcW w:type="dxa" w:w="1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0.369</w:t>
            </w:r>
          </w:p>
        </w:tc>
        <w:tc>
          <w:tcPr>
            <w:tcW w:type="dxa" w:w="13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66.4</w:t>
            </w:r>
          </w:p>
        </w:tc>
        <w:tc>
          <w:tcPr>
            <w:tcW w:type="dxa" w:w="12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−52.9%</w:t>
            </w:r>
          </w:p>
        </w:tc>
      </w:tr>
      <w:tr>
        <w:trPr>
          <w:cantSplit/>
          <w:tblHeader w:val="false"/>
        </w:trPr>
        <w:tc>
          <w:tcPr>
            <w:tcW w:type="dxa" w:w="27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Ridge</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13.10</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8.51</w:t>
            </w:r>
          </w:p>
        </w:tc>
        <w:tc>
          <w:tcPr>
            <w:tcW w:type="dxa" w:w="11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5.67</w:t>
            </w:r>
          </w:p>
        </w:tc>
        <w:tc>
          <w:tcPr>
            <w:tcW w:type="dxa" w:w="1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0.348</w:t>
            </w:r>
          </w:p>
        </w:tc>
        <w:tc>
          <w:tcPr>
            <w:tcW w:type="dxa" w:w="13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66.4</w:t>
            </w:r>
          </w:p>
        </w:tc>
        <w:tc>
          <w:tcPr>
            <w:tcW w:type="dxa" w:w="12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−52.2%</w:t>
            </w:r>
          </w:p>
        </w:tc>
      </w:tr>
      <w:tr>
        <w:trPr>
          <w:cantSplit/>
          <w:tblHeader w:val="false"/>
        </w:trPr>
        <w:tc>
          <w:tcPr>
            <w:tcW w:type="dxa" w:w="27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A2 Gradient Boosting</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13.20</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8.54</w:t>
            </w:r>
          </w:p>
        </w:tc>
        <w:tc>
          <w:tcPr>
            <w:tcW w:type="dxa" w:w="11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5.64</w:t>
            </w:r>
          </w:p>
        </w:tc>
        <w:tc>
          <w:tcPr>
            <w:tcW w:type="dxa" w:w="1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0.339</w:t>
            </w:r>
          </w:p>
        </w:tc>
        <w:tc>
          <w:tcPr>
            <w:tcW w:type="dxa" w:w="13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66.6</w:t>
            </w:r>
          </w:p>
        </w:tc>
        <w:tc>
          <w:tcPr>
            <w:tcW w:type="dxa" w:w="12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−51.8%</w:t>
            </w:r>
          </w:p>
        </w:tc>
      </w:tr>
      <w:tr>
        <w:trPr>
          <w:cantSplit/>
          <w:tblHeader w:val="false"/>
        </w:trPr>
        <w:tc>
          <w:tcPr>
            <w:tcW w:type="dxa" w:w="27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SARIMA</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15.58</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9.75</w:t>
            </w:r>
          </w:p>
        </w:tc>
        <w:tc>
          <w:tcPr>
            <w:tcW w:type="dxa" w:w="11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6.15</w:t>
            </w:r>
          </w:p>
        </w:tc>
        <w:tc>
          <w:tcPr>
            <w:tcW w:type="dxa" w:w="1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0.078</w:t>
            </w:r>
          </w:p>
        </w:tc>
        <w:tc>
          <w:tcPr>
            <w:tcW w:type="dxa" w:w="13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63.5</w:t>
            </w:r>
          </w:p>
        </w:tc>
        <w:tc>
          <w:tcPr>
            <w:tcW w:type="dxa" w:w="12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−43.1%</w:t>
            </w:r>
          </w:p>
        </w:tc>
      </w:tr>
      <w:tr>
        <w:trPr>
          <w:cantSplit/>
          <w:tblHeader w:val="false"/>
        </w:trPr>
        <w:tc>
          <w:tcPr>
            <w:tcW w:type="dxa" w:w="27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Regional momentum</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16.27</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9.97</w:t>
            </w:r>
          </w:p>
        </w:tc>
        <w:tc>
          <w:tcPr>
            <w:tcW w:type="dxa" w:w="11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6.19</w:t>
            </w:r>
          </w:p>
        </w:tc>
        <w:tc>
          <w:tcPr>
            <w:tcW w:type="dxa" w:w="1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-0.005</w:t>
            </w:r>
          </w:p>
        </w:tc>
        <w:tc>
          <w:tcPr>
            <w:tcW w:type="dxa" w:w="13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56.3</w:t>
            </w:r>
          </w:p>
        </w:tc>
        <w:tc>
          <w:tcPr>
            <w:tcW w:type="dxa" w:w="12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−40.6%</w:t>
            </w:r>
          </w:p>
        </w:tc>
      </w:tr>
      <w:tr>
        <w:trPr>
          <w:cantSplit/>
          <w:tblHeader w:val="false"/>
        </w:trPr>
        <w:tc>
          <w:tcPr>
            <w:tcW w:type="dxa" w:w="27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Historical mean</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17.32</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10.76</w:t>
            </w:r>
          </w:p>
        </w:tc>
        <w:tc>
          <w:tcPr>
            <w:tcW w:type="dxa" w:w="11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6.80</w:t>
            </w:r>
          </w:p>
        </w:tc>
        <w:tc>
          <w:tcPr>
            <w:tcW w:type="dxa" w:w="1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-0.139</w:t>
            </w:r>
          </w:p>
        </w:tc>
        <w:tc>
          <w:tcPr>
            <w:tcW w:type="dxa" w:w="13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49.0</w:t>
            </w:r>
          </w:p>
        </w:tc>
        <w:tc>
          <w:tcPr>
            <w:tcW w:type="dxa" w:w="12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−36.7%</w:t>
            </w:r>
          </w:p>
        </w:tc>
      </w:tr>
      <w:tr>
        <w:trPr>
          <w:cantSplit/>
          <w:tblHeader w:val="false"/>
        </w:trPr>
        <w:tc>
          <w:tcPr>
            <w:tcW w:type="dxa" w:w="27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Seasonal naive</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22.87</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14.49</w:t>
            </w:r>
          </w:p>
        </w:tc>
        <w:tc>
          <w:tcPr>
            <w:tcW w:type="dxa" w:w="11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9.13</w:t>
            </w:r>
          </w:p>
        </w:tc>
        <w:tc>
          <w:tcPr>
            <w:tcW w:type="dxa" w:w="1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-0.985</w:t>
            </w:r>
          </w:p>
        </w:tc>
        <w:tc>
          <w:tcPr>
            <w:tcW w:type="dxa" w:w="13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51.5</w:t>
            </w:r>
          </w:p>
        </w:tc>
        <w:tc>
          <w:tcPr>
            <w:tcW w:type="dxa" w:w="12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−16.5%</w:t>
            </w:r>
          </w:p>
        </w:tc>
      </w:tr>
      <w:tr>
        <w:trPr>
          <w:cantSplit/>
          <w:tblHeader w:val="false"/>
        </w:trPr>
        <w:tc>
          <w:tcPr>
            <w:tcW w:type="dxa" w:w="27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Naive persistence</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27.39</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17.14</w:t>
            </w:r>
          </w:p>
        </w:tc>
        <w:tc>
          <w:tcPr>
            <w:tcW w:type="dxa" w:w="11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10.65</w:t>
            </w:r>
          </w:p>
        </w:tc>
        <w:tc>
          <w:tcPr>
            <w:tcW w:type="dxa" w:w="1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-1.848</w:t>
            </w:r>
          </w:p>
        </w:tc>
        <w:tc>
          <w:tcPr>
            <w:tcW w:type="dxa" w:w="13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37.7</w:t>
            </w:r>
          </w:p>
        </w:tc>
        <w:tc>
          <w:tcPr>
            <w:tcW w:type="dxa" w:w="12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−0.0%</w:t>
            </w:r>
          </w:p>
        </w:tc>
      </w:tr>
    </w:tbl>
    <w:p>
      <w:pPr>
        <w:spacing w:after="80"/>
      </w:pPr>
    </w:p>
    <w:p>
      <w:pPr>
        <w:keepNext/>
        <w:spacing w:after="20" w:before="60"/>
        <w:jc w:val="center"/>
      </w:pPr>
      <w:r>
        <w:drawing>
          <wp:inline distT="0" distB="0" distL="0" distR="0">
            <wp:extent cx="4953000" cy="1962150"/>
            <wp:effectExtent t="0" r="0" b="0" l="0"/>
            <wp:docPr id="1" name="fig_leaderboard.png" descr="Mean absolute error by model (h = 1, liquid suburbs). Blue: A4 champion; orange: A2 model re-run fairly; yellow: SARIMA." title="Mean absolute error by model (h = 1, liquid suburbs). Bl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962150"/>
                    </a:xfrm>
                    <a:prstGeom prst="rect">
                      <a:avLst/>
                    </a:prstGeom>
                  </pic:spPr>
                </pic:pic>
              </a:graphicData>
            </a:graphic>
          </wp:inline>
        </w:drawing>
      </w:r>
    </w:p>
    <w:p>
      <w:pPr>
        <w:keepNext w:val="false"/>
        <w:spacing w:after="140" w:before="40"/>
        <w:jc w:val="center"/>
      </w:pPr>
      <w:r>
        <w:rPr>
          <w:rFonts w:ascii="Times New Roman" w:cs="Times New Roman" w:eastAsia="Times New Roman" w:hAnsi="Times New Roman"/>
          <w:b/>
          <w:bCs/>
          <w:sz w:val="20"/>
          <w:szCs w:val="20"/>
        </w:rPr>
        <w:t xml:space="preserve">Figure A4.5 — </w:t>
      </w:r>
      <w:r>
        <w:rPr>
          <w:rFonts w:ascii="Times New Roman" w:cs="Times New Roman" w:eastAsia="Times New Roman" w:hAnsi="Times New Roman"/>
          <w:i/>
          <w:iCs/>
          <w:sz w:val="20"/>
          <w:szCs w:val="20"/>
        </w:rPr>
        <w:t xml:space="preserve">Mean absolute error by model (h = 1, liquid suburbs). Blue: A4 champion; orange: A2 model re-run fairly; yellow: SARIMA.</w:t>
      </w:r>
    </w:p>
    <w:p>
      <w:pPr>
        <w:spacing w:after="100" w:before="0" w:line="252"/>
        <w:jc w:val="both"/>
      </w:pPr>
      <w:r>
        <w:rPr>
          <w:rFonts w:ascii="Times New Roman" w:cs="Times New Roman" w:eastAsia="Times New Roman" w:hAnsi="Times New Roman"/>
          <w:sz w:val="23"/>
          <w:szCs w:val="23"/>
        </w:rPr>
        <w:t xml:space="preserve">Three things stand out. First, </w:t>
      </w:r>
      <w:r>
        <w:rPr>
          <w:rFonts w:ascii="Times New Roman" w:cs="Times New Roman" w:eastAsia="Times New Roman" w:hAnsi="Times New Roman"/>
          <w:b/>
          <w:bCs/>
          <w:sz w:val="23"/>
          <w:szCs w:val="23"/>
        </w:rPr>
        <w:t xml:space="preserve">every pooled ML model halves the error of naive persistence</w:t>
      </w:r>
      <w:r>
        <w:rPr>
          <w:rFonts w:ascii="Times New Roman" w:cs="Times New Roman" w:eastAsia="Times New Roman" w:hAnsi="Times New Roman"/>
          <w:sz w:val="23"/>
          <w:szCs w:val="23"/>
        </w:rPr>
        <w:t xml:space="preserve"> (RMSE −52.9% for LightGBM) and has positive R² (0.369), while all four baselines have R² at or below zero. Second, the pooled models beat per-suburb SARIMA by a wide margin (MAE 8.36 vs 9.75 pp, −14.2%). That confirms the A2 hypothesis that learning across suburbs beats modelling each suburb alone. Third, and less flattering, </w:t>
      </w:r>
      <w:r>
        <w:rPr>
          <w:rFonts w:ascii="Times New Roman" w:cs="Times New Roman" w:eastAsia="Times New Roman" w:hAnsi="Times New Roman"/>
          <w:b/>
          <w:bCs/>
          <w:sz w:val="23"/>
          <w:szCs w:val="23"/>
        </w:rPr>
        <w:t xml:space="preserve">the A4 champion improves on the A2 model by only 2.1% in MAE</w:t>
      </w:r>
      <w:r>
        <w:rPr>
          <w:rFonts w:ascii="Times New Roman" w:cs="Times New Roman" w:eastAsia="Times New Roman" w:hAnsi="Times New Roman"/>
          <w:sz w:val="23"/>
          <w:szCs w:val="23"/>
        </w:rPr>
        <w:t xml:space="preserve"> (8.36 vs 8.54 pp) once both are scored on the corrected data. The large improvement of A2 Table 3.9.2 (57% over naive) was real, but the modest A4 gain over A2 is the honest measure of what A4's modelling work added. Most of A4's value lies elsewhere: in a forecast that can be trusted, calibrated and deployed.</w:t>
      </w:r>
    </w:p>
    <w:p>
      <w:pPr>
        <w:spacing w:after="100" w:before="0" w:line="252"/>
        <w:jc w:val="both"/>
      </w:pPr>
      <w:r>
        <w:rPr>
          <w:rFonts w:ascii="Times New Roman" w:cs="Times New Roman" w:eastAsia="Times New Roman" w:hAnsi="Times New Roman"/>
          <w:sz w:val="23"/>
          <w:szCs w:val="23"/>
        </w:rPr>
        <w:t xml:space="preserve">Within the pooled family the differences are tiny. The ensemble, Random Forest and XGBoost edge LightGBM by 0.03–0.09 pp RMSE. Under our selection rule the champion was fixed on validation data, and Table A4.10 shows why we did not switch: Random Forest and XGBoost are statistically indistinguishable from LightGBM, and the ensemble's edge is marginal.</w:t>
      </w:r>
    </w:p>
    <w:p>
      <w:pPr>
        <w:keepNext/>
        <w:spacing w:after="140" w:before="40"/>
        <w:jc w:val="center"/>
      </w:pPr>
      <w:r>
        <w:rPr>
          <w:rFonts w:ascii="Times New Roman" w:cs="Times New Roman" w:eastAsia="Times New Roman" w:hAnsi="Times New Roman"/>
          <w:b/>
          <w:bCs/>
          <w:sz w:val="20"/>
          <w:szCs w:val="20"/>
        </w:rPr>
        <w:t xml:space="preserve">Table A4.9 — </w:t>
      </w:r>
      <w:r>
        <w:rPr>
          <w:rFonts w:ascii="Times New Roman" w:cs="Times New Roman" w:eastAsia="Times New Roman" w:hAnsi="Times New Roman"/>
          <w:i/>
          <w:iCs/>
          <w:sz w:val="20"/>
          <w:szCs w:val="20"/>
        </w:rPr>
        <w:t xml:space="preserve">Prophet versus other models on its stratified sample (h = 1, identical cells).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000"/>
        <w:gridCol w:w="1200"/>
        <w:gridCol w:w="1200"/>
        <w:gridCol w:w="1538"/>
      </w:tblGrid>
      <w:tr>
        <w:trPr>
          <w:cantSplit/>
          <w:tblHeader/>
        </w:trPr>
        <w:tc>
          <w:tcPr>
            <w:tcW w:type="dxa" w:w="28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Model</w:t>
            </w:r>
          </w:p>
        </w:tc>
        <w:tc>
          <w:tcPr>
            <w:tcW w:type="dxa" w:w="19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Coverage</w:t>
            </w:r>
          </w:p>
        </w:tc>
        <w:tc>
          <w:tcPr>
            <w:tcW w:type="dxa" w:w="10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8"/>
                <w:szCs w:val="18"/>
              </w:rPr>
              <w:t xml:space="preserve">N</w:t>
            </w:r>
          </w:p>
        </w:tc>
        <w:tc>
          <w:tcPr>
            <w:tcW w:type="dxa" w:w="12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8"/>
                <w:szCs w:val="18"/>
              </w:rPr>
              <w:t xml:space="preserve">RMSE</w:t>
            </w:r>
          </w:p>
        </w:tc>
        <w:tc>
          <w:tcPr>
            <w:tcW w:type="dxa" w:w="12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8"/>
                <w:szCs w:val="18"/>
              </w:rPr>
              <w:t xml:space="preserve">MAE</w:t>
            </w:r>
          </w:p>
        </w:tc>
        <w:tc>
          <w:tcPr>
            <w:tcW w:type="dxa" w:w="1538"/>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8"/>
                <w:szCs w:val="18"/>
              </w:rPr>
              <w:t xml:space="preserve">Direction ✓ (%)</w:t>
            </w:r>
          </w:p>
        </w:tc>
      </w:tr>
      <w:tr>
        <w:trPr>
          <w:cantSplit/>
          <w:tblHeader w:val="false"/>
        </w:trPr>
        <w:tc>
          <w:tcPr>
            <w:tcW w:type="dxa" w:w="28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LightGBM</w:t>
            </w:r>
          </w:p>
        </w:tc>
        <w:tc>
          <w:tcPr>
            <w:tcW w:type="dxa" w:w="1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150-suburb sample</w:t>
            </w:r>
          </w:p>
        </w:tc>
        <w:tc>
          <w:tcPr>
            <w:tcW w:type="dxa" w:w="1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1,200</w:t>
            </w:r>
          </w:p>
        </w:tc>
        <w:tc>
          <w:tcPr>
            <w:tcW w:type="dxa" w:w="12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12.50</w:t>
            </w:r>
          </w:p>
        </w:tc>
        <w:tc>
          <w:tcPr>
            <w:tcW w:type="dxa" w:w="12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8.42</w:t>
            </w:r>
          </w:p>
        </w:tc>
        <w:tc>
          <w:tcPr>
            <w:tcW w:type="dxa" w:w="15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66.8</w:t>
            </w:r>
          </w:p>
        </w:tc>
      </w:tr>
      <w:tr>
        <w:trPr>
          <w:cantSplit/>
          <w:tblHeader w:val="false"/>
        </w:trPr>
        <w:tc>
          <w:tcPr>
            <w:tcW w:type="dxa" w:w="28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A2 Gradient Boosting</w:t>
            </w:r>
          </w:p>
        </w:tc>
        <w:tc>
          <w:tcPr>
            <w:tcW w:type="dxa" w:w="19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150-suburb sample</w:t>
            </w:r>
          </w:p>
        </w:tc>
        <w:tc>
          <w:tcPr>
            <w:tcW w:type="dxa" w:w="1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1,200</w:t>
            </w:r>
          </w:p>
        </w:tc>
        <w:tc>
          <w:tcPr>
            <w:tcW w:type="dxa" w:w="12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13.10</w:t>
            </w:r>
          </w:p>
        </w:tc>
        <w:tc>
          <w:tcPr>
            <w:tcW w:type="dxa" w:w="12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8.71</w:t>
            </w:r>
          </w:p>
        </w:tc>
        <w:tc>
          <w:tcPr>
            <w:tcW w:type="dxa" w:w="15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65.8</w:t>
            </w:r>
          </w:p>
        </w:tc>
      </w:tr>
      <w:tr>
        <w:trPr>
          <w:cantSplit/>
          <w:tblHeader w:val="false"/>
        </w:trPr>
        <w:tc>
          <w:tcPr>
            <w:tcW w:type="dxa" w:w="28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SARIMA</w:t>
            </w:r>
          </w:p>
        </w:tc>
        <w:tc>
          <w:tcPr>
            <w:tcW w:type="dxa" w:w="1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150-suburb sample</w:t>
            </w:r>
          </w:p>
        </w:tc>
        <w:tc>
          <w:tcPr>
            <w:tcW w:type="dxa" w:w="1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1,200</w:t>
            </w:r>
          </w:p>
        </w:tc>
        <w:tc>
          <w:tcPr>
            <w:tcW w:type="dxa" w:w="12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15.39</w:t>
            </w:r>
          </w:p>
        </w:tc>
        <w:tc>
          <w:tcPr>
            <w:tcW w:type="dxa" w:w="12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9.97</w:t>
            </w:r>
          </w:p>
        </w:tc>
        <w:tc>
          <w:tcPr>
            <w:tcW w:type="dxa" w:w="15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64.2</w:t>
            </w:r>
          </w:p>
        </w:tc>
      </w:tr>
      <w:tr>
        <w:trPr>
          <w:cantSplit/>
          <w:tblHeader w:val="false"/>
        </w:trPr>
        <w:tc>
          <w:tcPr>
            <w:tcW w:type="dxa" w:w="28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Prophet</w:t>
            </w:r>
          </w:p>
        </w:tc>
        <w:tc>
          <w:tcPr>
            <w:tcW w:type="dxa" w:w="19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150-suburb sample</w:t>
            </w:r>
          </w:p>
        </w:tc>
        <w:tc>
          <w:tcPr>
            <w:tcW w:type="dxa" w:w="1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1,200</w:t>
            </w:r>
          </w:p>
        </w:tc>
        <w:tc>
          <w:tcPr>
            <w:tcW w:type="dxa" w:w="12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20.07</w:t>
            </w:r>
          </w:p>
        </w:tc>
        <w:tc>
          <w:tcPr>
            <w:tcW w:type="dxa" w:w="12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12.77</w:t>
            </w:r>
          </w:p>
        </w:tc>
        <w:tc>
          <w:tcPr>
            <w:tcW w:type="dxa" w:w="15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49.3</w:t>
            </w:r>
          </w:p>
        </w:tc>
      </w:tr>
      <w:tr>
        <w:trPr>
          <w:cantSplit/>
          <w:tblHeader w:val="false"/>
        </w:trPr>
        <w:tc>
          <w:tcPr>
            <w:tcW w:type="dxa" w:w="28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Naive persistence</w:t>
            </w:r>
          </w:p>
        </w:tc>
        <w:tc>
          <w:tcPr>
            <w:tcW w:type="dxa" w:w="19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150-suburb sample</w:t>
            </w:r>
          </w:p>
        </w:tc>
        <w:tc>
          <w:tcPr>
            <w:tcW w:type="dxa" w:w="1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1,200</w:t>
            </w:r>
          </w:p>
        </w:tc>
        <w:tc>
          <w:tcPr>
            <w:tcW w:type="dxa" w:w="12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27.60</w:t>
            </w:r>
          </w:p>
        </w:tc>
        <w:tc>
          <w:tcPr>
            <w:tcW w:type="dxa" w:w="12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17.68</w:t>
            </w:r>
          </w:p>
        </w:tc>
        <w:tc>
          <w:tcPr>
            <w:tcW w:type="dxa" w:w="15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37.2</w:t>
            </w:r>
          </w:p>
        </w:tc>
      </w:tr>
    </w:tbl>
    <w:p>
      <w:pPr>
        <w:spacing w:after="80"/>
      </w:pPr>
    </w:p>
    <w:p>
      <w:pPr>
        <w:pStyle w:val="Heading3"/>
        <w:keepNext/>
        <w:spacing w:after="60" w:before="140"/>
      </w:pPr>
      <w:r>
        <w:rPr>
          <w:rFonts w:ascii="Times New Roman" w:cs="Times New Roman" w:eastAsia="Times New Roman" w:hAnsi="Times New Roman"/>
        </w:rPr>
        <w:t xml:space="preserve">3.6.2 Are the Differences Real? Diebold–Mariano Tests</w:t>
      </w:r>
    </w:p>
    <w:p>
      <w:pPr>
        <w:spacing w:after="100" w:before="0" w:line="252"/>
        <w:jc w:val="both"/>
      </w:pPr>
      <w:r>
        <w:rPr>
          <w:rFonts w:ascii="Times New Roman" w:cs="Times New Roman" w:eastAsia="Times New Roman" w:hAnsi="Times New Roman"/>
          <w:sz w:val="23"/>
          <w:szCs w:val="23"/>
        </w:rPr>
        <w:t xml:space="preserve">A leaderboard ranks models even when the gaps are noise. We therefore applied the Diebold–Mariano test (Diebold &amp; Mariano, 1995, with the Harvey et al., 1997 small-sample correction) to the champion against each competitor, on both squared and absolute error. A negative statistic means LightGBM is more accurate.</w:t>
      </w:r>
    </w:p>
    <w:p>
      <w:pPr>
        <w:keepNext/>
        <w:spacing w:after="140" w:before="40"/>
        <w:jc w:val="center"/>
      </w:pPr>
      <w:r>
        <w:rPr>
          <w:rFonts w:ascii="Times New Roman" w:cs="Times New Roman" w:eastAsia="Times New Roman" w:hAnsi="Times New Roman"/>
          <w:b/>
          <w:bCs/>
          <w:sz w:val="20"/>
          <w:szCs w:val="20"/>
        </w:rPr>
        <w:t xml:space="preserve">Table A4.10 — </w:t>
      </w:r>
      <w:r>
        <w:rPr>
          <w:rFonts w:ascii="Times New Roman" w:cs="Times New Roman" w:eastAsia="Times New Roman" w:hAnsi="Times New Roman"/>
          <w:i/>
          <w:iCs/>
          <w:sz w:val="20"/>
          <w:szCs w:val="20"/>
        </w:rPr>
        <w:t xml:space="preserve">Diebold–Mariano tests, h = 1, liquid suburbs (same cells as Table A4.8).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350"/>
        <w:gridCol w:w="1050"/>
        <w:gridCol w:w="1350"/>
        <w:gridCol w:w="1050"/>
        <w:gridCol w:w="2338"/>
      </w:tblGrid>
      <w:tr>
        <w:trPr>
          <w:cantSplit/>
          <w:tblHeader/>
        </w:trPr>
        <w:tc>
          <w:tcPr>
            <w:tcW w:type="dxa" w:w="25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7"/>
                <w:szCs w:val="17"/>
              </w:rPr>
              <w:t xml:space="preserve">LightGBM vs …</w:t>
            </w:r>
          </w:p>
        </w:tc>
        <w:tc>
          <w:tcPr>
            <w:tcW w:type="dxa" w:w="135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7"/>
                <w:szCs w:val="17"/>
              </w:rPr>
              <w:t xml:space="preserve">DM (squared error)</w:t>
            </w:r>
          </w:p>
        </w:tc>
        <w:tc>
          <w:tcPr>
            <w:tcW w:type="dxa" w:w="105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7"/>
                <w:szCs w:val="17"/>
              </w:rPr>
              <w:t xml:space="preserve">p-value</w:t>
            </w:r>
          </w:p>
        </w:tc>
        <w:tc>
          <w:tcPr>
            <w:tcW w:type="dxa" w:w="135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7"/>
                <w:szCs w:val="17"/>
              </w:rPr>
              <w:t xml:space="preserve">DM (absolute error)</w:t>
            </w:r>
          </w:p>
        </w:tc>
        <w:tc>
          <w:tcPr>
            <w:tcW w:type="dxa" w:w="105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7"/>
                <w:szCs w:val="17"/>
              </w:rPr>
              <w:t xml:space="preserve">p-value</w:t>
            </w:r>
          </w:p>
        </w:tc>
        <w:tc>
          <w:tcPr>
            <w:tcW w:type="dxa" w:w="2338"/>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7"/>
                <w:szCs w:val="17"/>
              </w:rPr>
              <w:t xml:space="preserve">Verdict</w:t>
            </w:r>
          </w:p>
        </w:tc>
      </w:tr>
      <w:tr>
        <w:trPr>
          <w:cantSplit/>
          <w:tblHeader w:val="false"/>
        </w:trPr>
        <w:tc>
          <w:tcPr>
            <w:tcW w:type="dxa" w:w="2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Naive persistence</w:t>
            </w:r>
          </w:p>
        </w:tc>
        <w:tc>
          <w:tcPr>
            <w:tcW w:type="dxa" w:w="13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-13.84</w:t>
            </w:r>
          </w:p>
        </w:tc>
        <w:tc>
          <w:tcPr>
            <w:tcW w:type="dxa" w:w="10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&lt;0.001</w:t>
            </w:r>
          </w:p>
        </w:tc>
        <w:tc>
          <w:tcPr>
            <w:tcW w:type="dxa" w:w="13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-31.70</w:t>
            </w:r>
          </w:p>
        </w:tc>
        <w:tc>
          <w:tcPr>
            <w:tcW w:type="dxa" w:w="10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&lt;0.001</w:t>
            </w:r>
          </w:p>
        </w:tc>
        <w:tc>
          <w:tcPr>
            <w:tcW w:type="dxa" w:w="23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LightGBM better</w:t>
            </w:r>
          </w:p>
        </w:tc>
      </w:tr>
      <w:tr>
        <w:trPr>
          <w:cantSplit/>
          <w:tblHeader w:val="false"/>
        </w:trPr>
        <w:tc>
          <w:tcPr>
            <w:tcW w:type="dxa" w:w="25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Seasonal naive</w:t>
            </w:r>
          </w:p>
        </w:tc>
        <w:tc>
          <w:tcPr>
            <w:tcW w:type="dxa" w:w="13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-12.37</w:t>
            </w:r>
          </w:p>
        </w:tc>
        <w:tc>
          <w:tcPr>
            <w:tcW w:type="dxa" w:w="10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&lt;0.001</w:t>
            </w:r>
          </w:p>
        </w:tc>
        <w:tc>
          <w:tcPr>
            <w:tcW w:type="dxa" w:w="13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-27.44</w:t>
            </w:r>
          </w:p>
        </w:tc>
        <w:tc>
          <w:tcPr>
            <w:tcW w:type="dxa" w:w="10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&lt;0.001</w:t>
            </w:r>
          </w:p>
        </w:tc>
        <w:tc>
          <w:tcPr>
            <w:tcW w:type="dxa" w:w="23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LightGBM better</w:t>
            </w:r>
          </w:p>
        </w:tc>
      </w:tr>
      <w:tr>
        <w:trPr>
          <w:cantSplit/>
          <w:tblHeader w:val="false"/>
        </w:trPr>
        <w:tc>
          <w:tcPr>
            <w:tcW w:type="dxa" w:w="2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Historical mean</w:t>
            </w:r>
          </w:p>
        </w:tc>
        <w:tc>
          <w:tcPr>
            <w:tcW w:type="dxa" w:w="13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-8.25</w:t>
            </w:r>
          </w:p>
        </w:tc>
        <w:tc>
          <w:tcPr>
            <w:tcW w:type="dxa" w:w="10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&lt;0.001</w:t>
            </w:r>
          </w:p>
        </w:tc>
        <w:tc>
          <w:tcPr>
            <w:tcW w:type="dxa" w:w="13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-17.05</w:t>
            </w:r>
          </w:p>
        </w:tc>
        <w:tc>
          <w:tcPr>
            <w:tcW w:type="dxa" w:w="10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&lt;0.001</w:t>
            </w:r>
          </w:p>
        </w:tc>
        <w:tc>
          <w:tcPr>
            <w:tcW w:type="dxa" w:w="23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LightGBM better</w:t>
            </w:r>
          </w:p>
        </w:tc>
      </w:tr>
      <w:tr>
        <w:trPr>
          <w:cantSplit/>
          <w:tblHeader w:val="false"/>
        </w:trPr>
        <w:tc>
          <w:tcPr>
            <w:tcW w:type="dxa" w:w="25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Regional momentum</w:t>
            </w:r>
          </w:p>
        </w:tc>
        <w:tc>
          <w:tcPr>
            <w:tcW w:type="dxa" w:w="13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-6.71</w:t>
            </w:r>
          </w:p>
        </w:tc>
        <w:tc>
          <w:tcPr>
            <w:tcW w:type="dxa" w:w="10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&lt;0.001</w:t>
            </w:r>
          </w:p>
        </w:tc>
        <w:tc>
          <w:tcPr>
            <w:tcW w:type="dxa" w:w="13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-13.03</w:t>
            </w:r>
          </w:p>
        </w:tc>
        <w:tc>
          <w:tcPr>
            <w:tcW w:type="dxa" w:w="10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&lt;0.001</w:t>
            </w:r>
          </w:p>
        </w:tc>
        <w:tc>
          <w:tcPr>
            <w:tcW w:type="dxa" w:w="23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LightGBM better</w:t>
            </w:r>
          </w:p>
        </w:tc>
      </w:tr>
      <w:tr>
        <w:trPr>
          <w:cantSplit/>
          <w:tblHeader w:val="false"/>
        </w:trPr>
        <w:tc>
          <w:tcPr>
            <w:tcW w:type="dxa" w:w="2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SARIMA</w:t>
            </w:r>
          </w:p>
        </w:tc>
        <w:tc>
          <w:tcPr>
            <w:tcW w:type="dxa" w:w="13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-7.12</w:t>
            </w:r>
          </w:p>
        </w:tc>
        <w:tc>
          <w:tcPr>
            <w:tcW w:type="dxa" w:w="10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&lt;0.001</w:t>
            </w:r>
          </w:p>
        </w:tc>
        <w:tc>
          <w:tcPr>
            <w:tcW w:type="dxa" w:w="13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-11.80</w:t>
            </w:r>
          </w:p>
        </w:tc>
        <w:tc>
          <w:tcPr>
            <w:tcW w:type="dxa" w:w="10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&lt;0.001</w:t>
            </w:r>
          </w:p>
        </w:tc>
        <w:tc>
          <w:tcPr>
            <w:tcW w:type="dxa" w:w="23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LightGBM better</w:t>
            </w:r>
          </w:p>
        </w:tc>
      </w:tr>
      <w:tr>
        <w:trPr>
          <w:cantSplit/>
          <w:tblHeader w:val="false"/>
        </w:trPr>
        <w:tc>
          <w:tcPr>
            <w:tcW w:type="dxa" w:w="25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A2 Gradient Boosting</w:t>
            </w:r>
          </w:p>
        </w:tc>
        <w:tc>
          <w:tcPr>
            <w:tcW w:type="dxa" w:w="13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-3.02</w:t>
            </w:r>
          </w:p>
        </w:tc>
        <w:tc>
          <w:tcPr>
            <w:tcW w:type="dxa" w:w="10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0.003</w:t>
            </w:r>
          </w:p>
        </w:tc>
        <w:tc>
          <w:tcPr>
            <w:tcW w:type="dxa" w:w="13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-3.79</w:t>
            </w:r>
          </w:p>
        </w:tc>
        <w:tc>
          <w:tcPr>
            <w:tcW w:type="dxa" w:w="10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&lt;0.001</w:t>
            </w:r>
          </w:p>
        </w:tc>
        <w:tc>
          <w:tcPr>
            <w:tcW w:type="dxa" w:w="23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LightGBM better</w:t>
            </w:r>
          </w:p>
        </w:tc>
      </w:tr>
      <w:tr>
        <w:trPr>
          <w:cantSplit/>
          <w:tblHeader w:val="false"/>
        </w:trPr>
        <w:tc>
          <w:tcPr>
            <w:tcW w:type="dxa" w:w="2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Ridge</w:t>
            </w:r>
          </w:p>
        </w:tc>
        <w:tc>
          <w:tcPr>
            <w:tcW w:type="dxa" w:w="13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-2.59</w:t>
            </w:r>
          </w:p>
        </w:tc>
        <w:tc>
          <w:tcPr>
            <w:tcW w:type="dxa" w:w="10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0.010</w:t>
            </w:r>
          </w:p>
        </w:tc>
        <w:tc>
          <w:tcPr>
            <w:tcW w:type="dxa" w:w="13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-3.64</w:t>
            </w:r>
          </w:p>
        </w:tc>
        <w:tc>
          <w:tcPr>
            <w:tcW w:type="dxa" w:w="10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&lt;0.001</w:t>
            </w:r>
          </w:p>
        </w:tc>
        <w:tc>
          <w:tcPr>
            <w:tcW w:type="dxa" w:w="23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LightGBM better</w:t>
            </w:r>
          </w:p>
        </w:tc>
      </w:tr>
      <w:tr>
        <w:trPr>
          <w:cantSplit/>
          <w:tblHeader w:val="false"/>
        </w:trPr>
        <w:tc>
          <w:tcPr>
            <w:tcW w:type="dxa" w:w="25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Random forest</w:t>
            </w:r>
          </w:p>
        </w:tc>
        <w:tc>
          <w:tcPr>
            <w:tcW w:type="dxa" w:w="13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0.95</w:t>
            </w:r>
          </w:p>
        </w:tc>
        <w:tc>
          <w:tcPr>
            <w:tcW w:type="dxa" w:w="10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0.341</w:t>
            </w:r>
          </w:p>
        </w:tc>
        <w:tc>
          <w:tcPr>
            <w:tcW w:type="dxa" w:w="13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0.34</w:t>
            </w:r>
          </w:p>
        </w:tc>
        <w:tc>
          <w:tcPr>
            <w:tcW w:type="dxa" w:w="10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0.732</w:t>
            </w:r>
          </w:p>
        </w:tc>
        <w:tc>
          <w:tcPr>
            <w:tcW w:type="dxa" w:w="23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No significant difference</w:t>
            </w:r>
          </w:p>
        </w:tc>
      </w:tr>
      <w:tr>
        <w:trPr>
          <w:cantSplit/>
          <w:tblHeader w:val="false"/>
        </w:trPr>
        <w:tc>
          <w:tcPr>
            <w:tcW w:type="dxa" w:w="2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XGBoost</w:t>
            </w:r>
          </w:p>
        </w:tc>
        <w:tc>
          <w:tcPr>
            <w:tcW w:type="dxa" w:w="13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0.98</w:t>
            </w:r>
          </w:p>
        </w:tc>
        <w:tc>
          <w:tcPr>
            <w:tcW w:type="dxa" w:w="10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0.326</w:t>
            </w:r>
          </w:p>
        </w:tc>
        <w:tc>
          <w:tcPr>
            <w:tcW w:type="dxa" w:w="13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0.45</w:t>
            </w:r>
          </w:p>
        </w:tc>
        <w:tc>
          <w:tcPr>
            <w:tcW w:type="dxa" w:w="10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0.656</w:t>
            </w:r>
          </w:p>
        </w:tc>
        <w:tc>
          <w:tcPr>
            <w:tcW w:type="dxa" w:w="23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No significant difference</w:t>
            </w:r>
          </w:p>
        </w:tc>
      </w:tr>
      <w:tr>
        <w:trPr>
          <w:cantSplit/>
          <w:tblHeader w:val="false"/>
        </w:trPr>
        <w:tc>
          <w:tcPr>
            <w:tcW w:type="dxa" w:w="25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Ensemble (LGBM+XGB+RF)</w:t>
            </w:r>
          </w:p>
        </w:tc>
        <w:tc>
          <w:tcPr>
            <w:tcW w:type="dxa" w:w="13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1.70</w:t>
            </w:r>
          </w:p>
        </w:tc>
        <w:tc>
          <w:tcPr>
            <w:tcW w:type="dxa" w:w="10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0.088</w:t>
            </w:r>
          </w:p>
        </w:tc>
        <w:tc>
          <w:tcPr>
            <w:tcW w:type="dxa" w:w="13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2.11</w:t>
            </w:r>
          </w:p>
        </w:tc>
        <w:tc>
          <w:tcPr>
            <w:tcW w:type="dxa" w:w="10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0.035</w:t>
            </w:r>
          </w:p>
        </w:tc>
        <w:tc>
          <w:tcPr>
            <w:tcW w:type="dxa" w:w="23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Competitor better</w:t>
            </w:r>
          </w:p>
        </w:tc>
      </w:tr>
    </w:tbl>
    <w:p>
      <w:pPr>
        <w:spacing w:after="80"/>
      </w:pPr>
    </w:p>
    <w:p>
      <w:pPr>
        <w:spacing w:after="100" w:before="0" w:line="252"/>
        <w:jc w:val="both"/>
      </w:pPr>
      <w:r>
        <w:rPr>
          <w:rFonts w:ascii="Times New Roman" w:cs="Times New Roman" w:eastAsia="Times New Roman" w:hAnsi="Times New Roman"/>
          <w:sz w:val="23"/>
          <w:szCs w:val="23"/>
        </w:rPr>
        <w:t xml:space="preserve">LightGBM is significantly more accurate than every baseline and than SARIMA (p &lt; 0.001). It is also significantly better than the A2 model (p = 0.003 on squared error, p &lt; 0.001 on absolute error) and than Ridge (p &lt; 0.001): the A4 improvement over A2 is small but not luck. Against Random Forest and XGBoost there is no detectable difference (p = 0.732 and p = 0.656). The ensemble is marginally better on absolute error (p = 0.035) but not on squared error (p = 0.088). For a 0.03 pp MAE gain at three times the training cost, we kept LightGBM as the production model and logged the ensemble as the leading candidate for the next release.</w:t>
      </w:r>
    </w:p>
    <w:p>
      <w:pPr>
        <w:pStyle w:val="Heading3"/>
        <w:keepNext/>
        <w:spacing w:after="60" w:before="140"/>
      </w:pPr>
      <w:r>
        <w:rPr>
          <w:rFonts w:ascii="Times New Roman" w:cs="Times New Roman" w:eastAsia="Times New Roman" w:hAnsi="Times New Roman"/>
        </w:rPr>
        <w:t xml:space="preserve">3.6.3 Performance by Horizon</w:t>
      </w:r>
    </w:p>
    <w:p>
      <w:pPr>
        <w:spacing w:after="100" w:before="0" w:line="252"/>
        <w:jc w:val="both"/>
      </w:pPr>
      <w:r>
        <w:rPr>
          <w:rFonts w:ascii="Times New Roman" w:cs="Times New Roman" w:eastAsia="Times New Roman" w:hAnsi="Times New Roman"/>
          <w:sz w:val="23"/>
          <w:szCs w:val="23"/>
        </w:rPr>
        <w:t xml:space="preserve">Figure A4.6 shows how accuracy changes with horizon, and it carries the most important lesson of the evaluation. At one quarter ahead, the pooled models are clearly better than everything else. </w:t>
      </w:r>
      <w:r>
        <w:rPr>
          <w:rFonts w:ascii="Times New Roman" w:cs="Times New Roman" w:eastAsia="Times New Roman" w:hAnsi="Times New Roman"/>
          <w:b/>
          <w:bCs/>
          <w:sz w:val="23"/>
          <w:szCs w:val="23"/>
        </w:rPr>
        <w:t xml:space="preserve">From two quarters onward, every model (LightGBM, the A2 model, SARIMA) converges to the accuracy of the simple regional-momentum baseline</w:t>
      </w:r>
      <w:r>
        <w:rPr>
          <w:rFonts w:ascii="Times New Roman" w:cs="Times New Roman" w:eastAsia="Times New Roman" w:hAnsi="Times New Roman"/>
          <w:sz w:val="23"/>
          <w:szCs w:val="23"/>
        </w:rPr>
        <w:t xml:space="preserve"> (MAE ≈ 10.0 pp at h = 4; R² ≈ 0), and directional accuracy falls from about 66.4% to 55.1%. Put plainly, what a suburb's own history can tell us about its next quarter is mostly that unusual moves tend to reverse. Beyond that, the best available forecast for a single suburb is the regional trend. (At h = 4 the seasonal-naive and persistence forecasts coincide by definition, since both use the latest QoQ.)</w:t>
      </w:r>
    </w:p>
    <w:p>
      <w:pPr>
        <w:keepNext/>
        <w:spacing w:after="20" w:before="60"/>
        <w:jc w:val="center"/>
      </w:pPr>
      <w:r>
        <w:drawing>
          <wp:inline distT="0" distB="0" distL="0" distR="0">
            <wp:extent cx="5905500" cy="2724150"/>
            <wp:effectExtent t="0" r="0" b="0" l="0"/>
            <wp:docPr id="1" name="fig_horizon.png" descr="Error and directional accuracy by forecast horizon (liquid suburbs, identical cells at each horizon)." title="Error and directional accuracy by forecast horizon (liquid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724150"/>
                    </a:xfrm>
                    <a:prstGeom prst="rect">
                      <a:avLst/>
                    </a:prstGeom>
                  </pic:spPr>
                </pic:pic>
              </a:graphicData>
            </a:graphic>
          </wp:inline>
        </w:drawing>
      </w:r>
    </w:p>
    <w:p>
      <w:pPr>
        <w:keepNext w:val="false"/>
        <w:spacing w:after="140" w:before="40"/>
        <w:jc w:val="center"/>
      </w:pPr>
      <w:r>
        <w:rPr>
          <w:rFonts w:ascii="Times New Roman" w:cs="Times New Roman" w:eastAsia="Times New Roman" w:hAnsi="Times New Roman"/>
          <w:b/>
          <w:bCs/>
          <w:sz w:val="20"/>
          <w:szCs w:val="20"/>
        </w:rPr>
        <w:t xml:space="preserve">Figure A4.6 — </w:t>
      </w:r>
      <w:r>
        <w:rPr>
          <w:rFonts w:ascii="Times New Roman" w:cs="Times New Roman" w:eastAsia="Times New Roman" w:hAnsi="Times New Roman"/>
          <w:i/>
          <w:iCs/>
          <w:sz w:val="20"/>
          <w:szCs w:val="20"/>
        </w:rPr>
        <w:t xml:space="preserve">Error and directional accuracy by forecast horizon (liquid suburbs, identical cells at each horizon).</w:t>
      </w:r>
    </w:p>
    <w:p>
      <w:pPr>
        <w:spacing w:after="100" w:before="0" w:line="252"/>
        <w:jc w:val="both"/>
      </w:pPr>
      <w:r>
        <w:rPr>
          <w:rFonts w:ascii="Times New Roman" w:cs="Times New Roman" w:eastAsia="Times New Roman" w:hAnsi="Times New Roman"/>
          <w:sz w:val="23"/>
          <w:szCs w:val="23"/>
        </w:rPr>
        <w:t xml:space="preserve">We see this as a finding rather than a failure, and the app is built to reflect it. The calibrated band widens with horizon (mean width 32.9 pp at h = 1 to 40.3 pp at h = 4), so users see uncertainty grow rather than a confident line marching into the future.</w:t>
      </w:r>
    </w:p>
    <w:p>
      <w:pPr>
        <w:pStyle w:val="Heading3"/>
        <w:keepNext/>
        <w:spacing w:after="60" w:before="140"/>
      </w:pPr>
      <w:r>
        <w:rPr>
          <w:rFonts w:ascii="Times New Roman" w:cs="Times New Roman" w:eastAsia="Times New Roman" w:hAnsi="Times New Roman"/>
        </w:rPr>
        <w:t xml:space="preserve">3.6.4 Uncertainty Calibration and Stability Over Time</w:t>
      </w:r>
    </w:p>
    <w:p>
      <w:pPr>
        <w:spacing w:after="100" w:before="0" w:line="252"/>
        <w:jc w:val="both"/>
      </w:pPr>
      <w:r>
        <w:rPr>
          <w:rFonts w:ascii="Times New Roman" w:cs="Times New Roman" w:eastAsia="Times New Roman" w:hAnsi="Times New Roman"/>
          <w:sz w:val="23"/>
          <w:szCs w:val="23"/>
        </w:rPr>
        <w:t xml:space="preserve">Figure A4.7 (right) checks whether the P10–P90 bands mean what they say. Across all 8,117 scored suburb-quarters per horizon, the conformalised bands contain the outcome </w:t>
      </w:r>
      <w:r>
        <w:rPr>
          <w:rFonts w:ascii="Times New Roman" w:cs="Times New Roman" w:eastAsia="Times New Roman" w:hAnsi="Times New Roman"/>
          <w:b/>
          <w:bCs/>
          <w:sz w:val="23"/>
          <w:szCs w:val="23"/>
        </w:rPr>
        <w:t xml:space="preserve">80.4%, 80.5%, 81.4% and 81.3%</w:t>
      </w:r>
      <w:r>
        <w:rPr>
          <w:rFonts w:ascii="Times New Roman" w:cs="Times New Roman" w:eastAsia="Times New Roman" w:hAnsi="Times New Roman"/>
          <w:sz w:val="23"/>
          <w:szCs w:val="23"/>
        </w:rPr>
        <w:t xml:space="preserve"> of the time for h = 1…4, against an 80% target. The raw quantile models were already close at longer horizons but under-covered at h = 1 (78.2%); the conformal step fixed that. The left panel shows that one-quarter-ahead accuracy is stable across all eight test quarters, with no single quarter carrying the result and no sign of degradation as the test window moves further from the training data.</w:t>
      </w:r>
    </w:p>
    <w:p>
      <w:pPr>
        <w:keepNext/>
        <w:spacing w:after="20" w:before="60"/>
        <w:jc w:val="center"/>
      </w:pPr>
      <w:r>
        <w:drawing>
          <wp:inline distT="0" distB="0" distL="0" distR="0">
            <wp:extent cx="5905500" cy="2428875"/>
            <wp:effectExtent t="0" r="0" b="0" l="0"/>
            <wp:docPr id="1" name="fig_stability_coverage.png" descr="Left: MAE per test quarter (h = 1). Right: empirical coverage of the P10–P90 band by horizon." title="Left: MAE per test quarter (h = 1). Right: empirical cove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428875"/>
                    </a:xfrm>
                    <a:prstGeom prst="rect">
                      <a:avLst/>
                    </a:prstGeom>
                  </pic:spPr>
                </pic:pic>
              </a:graphicData>
            </a:graphic>
          </wp:inline>
        </w:drawing>
      </w:r>
    </w:p>
    <w:p>
      <w:pPr>
        <w:keepNext w:val="false"/>
        <w:spacing w:after="140" w:before="40"/>
        <w:jc w:val="center"/>
      </w:pPr>
      <w:r>
        <w:rPr>
          <w:rFonts w:ascii="Times New Roman" w:cs="Times New Roman" w:eastAsia="Times New Roman" w:hAnsi="Times New Roman"/>
          <w:b/>
          <w:bCs/>
          <w:sz w:val="20"/>
          <w:szCs w:val="20"/>
        </w:rPr>
        <w:t xml:space="preserve">Figure A4.7 — </w:t>
      </w:r>
      <w:r>
        <w:rPr>
          <w:rFonts w:ascii="Times New Roman" w:cs="Times New Roman" w:eastAsia="Times New Roman" w:hAnsi="Times New Roman"/>
          <w:i/>
          <w:iCs/>
          <w:sz w:val="20"/>
          <w:szCs w:val="20"/>
        </w:rPr>
        <w:t xml:space="preserve">Left: MAE per test quarter (h = 1). Right: empirical coverage of the P10–P90 band by horizon.</w:t>
      </w:r>
    </w:p>
    <w:p>
      <w:pPr>
        <w:spacing w:after="100" w:before="0" w:line="252"/>
        <w:jc w:val="both"/>
      </w:pPr>
      <w:r>
        <w:rPr>
          <w:rFonts w:ascii="Times New Roman" w:cs="Times New Roman" w:eastAsia="Times New Roman" w:hAnsi="Times New Roman"/>
          <w:sz w:val="23"/>
          <w:szCs w:val="23"/>
        </w:rPr>
        <w:t xml:space="preserve">The production price-path models were validated the same way (Table A4.11). Their bands cover 80.8% of realised cumulative changes overall, so the claim in the app ("roughly 8 in 10 outcomes fall inside the band") is a measured property, not a hope.</w:t>
      </w:r>
    </w:p>
    <w:p>
      <w:pPr>
        <w:keepNext/>
        <w:spacing w:after="140" w:before="40"/>
        <w:jc w:val="center"/>
      </w:pPr>
      <w:r>
        <w:rPr>
          <w:rFonts w:ascii="Times New Roman" w:cs="Times New Roman" w:eastAsia="Times New Roman" w:hAnsi="Times New Roman"/>
          <w:b/>
          <w:bCs/>
          <w:sz w:val="20"/>
          <w:szCs w:val="20"/>
        </w:rPr>
        <w:t xml:space="preserve">Table A4.11 — </w:t>
      </w:r>
      <w:r>
        <w:rPr>
          <w:rFonts w:ascii="Times New Roman" w:cs="Times New Roman" w:eastAsia="Times New Roman" w:hAnsi="Times New Roman"/>
          <w:i/>
          <w:iCs/>
          <w:sz w:val="20"/>
          <w:szCs w:val="20"/>
        </w:rPr>
        <w:t xml:space="preserve">Back-test of the production models (cumulative % change in median from the forecast origin, all scored suburbs).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2300"/>
        <w:gridCol w:w="1100"/>
        <w:gridCol w:w="1800"/>
        <w:gridCol w:w="1738"/>
      </w:tblGrid>
      <w:tr>
        <w:trPr>
          <w:cantSplit/>
          <w:tblHeader/>
        </w:trPr>
        <w:tc>
          <w:tcPr>
            <w:tcW w:type="dxa" w:w="13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Horizon</w:t>
            </w:r>
          </w:p>
        </w:tc>
        <w:tc>
          <w:tcPr>
            <w:tcW w:type="dxa" w:w="14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8"/>
                <w:szCs w:val="18"/>
              </w:rPr>
              <w:t xml:space="preserve">MAE (pp)</w:t>
            </w:r>
          </w:p>
        </w:tc>
        <w:tc>
          <w:tcPr>
            <w:tcW w:type="dxa" w:w="23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8"/>
                <w:szCs w:val="18"/>
              </w:rPr>
              <w:t xml:space="preserve">MAE, no-change forecast</w:t>
            </w:r>
          </w:p>
        </w:tc>
        <w:tc>
          <w:tcPr>
            <w:tcW w:type="dxa" w:w="11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8"/>
                <w:szCs w:val="18"/>
              </w:rPr>
              <w:t xml:space="preserve">R²</w:t>
            </w:r>
          </w:p>
        </w:tc>
        <w:tc>
          <w:tcPr>
            <w:tcW w:type="dxa" w:w="18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8"/>
                <w:szCs w:val="18"/>
              </w:rPr>
              <w:t xml:space="preserve">Band coverage (%)</w:t>
            </w:r>
          </w:p>
        </w:tc>
        <w:tc>
          <w:tcPr>
            <w:tcW w:type="dxa" w:w="1738"/>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8"/>
                <w:szCs w:val="18"/>
              </w:rPr>
              <w:t xml:space="preserve">Mean band width (pp)</w:t>
            </w:r>
          </w:p>
        </w:tc>
      </w:tr>
      <w:tr>
        <w:trPr>
          <w:cantSplit/>
          <w:tblHeader w:val="false"/>
        </w:trPr>
        <w:tc>
          <w:tcPr>
            <w:tcW w:type="dxa" w:w="1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h = 1</w:t>
            </w:r>
          </w:p>
        </w:tc>
        <w:tc>
          <w:tcPr>
            <w:tcW w:type="dxa" w:w="14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10.75</w:t>
            </w:r>
          </w:p>
        </w:tc>
        <w:tc>
          <w:tcPr>
            <w:tcW w:type="dxa" w:w="2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13.00</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0.343</w:t>
            </w:r>
          </w:p>
        </w:tc>
        <w:tc>
          <w:tcPr>
            <w:tcW w:type="dxa" w:w="18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80.4</w:t>
            </w:r>
          </w:p>
        </w:tc>
        <w:tc>
          <w:tcPr>
            <w:tcW w:type="dxa" w:w="17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32.9</w:t>
            </w:r>
          </w:p>
        </w:tc>
      </w:tr>
      <w:tr>
        <w:trPr>
          <w:cantSplit/>
          <w:tblHeader w:val="false"/>
        </w:trPr>
        <w:tc>
          <w:tcPr>
            <w:tcW w:type="dxa" w:w="1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h = 2</w:t>
            </w:r>
          </w:p>
        </w:tc>
        <w:tc>
          <w:tcPr>
            <w:tcW w:type="dxa" w:w="14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11.81</w:t>
            </w:r>
          </w:p>
        </w:tc>
        <w:tc>
          <w:tcPr>
            <w:tcW w:type="dxa" w:w="2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14.41</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0.203</w:t>
            </w:r>
          </w:p>
        </w:tc>
        <w:tc>
          <w:tcPr>
            <w:tcW w:type="dxa" w:w="18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79.6</w:t>
            </w:r>
          </w:p>
        </w:tc>
        <w:tc>
          <w:tcPr>
            <w:tcW w:type="dxa" w:w="17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34.9</w:t>
            </w:r>
          </w:p>
        </w:tc>
      </w:tr>
      <w:tr>
        <w:trPr>
          <w:cantSplit/>
          <w:tblHeader w:val="false"/>
        </w:trPr>
        <w:tc>
          <w:tcPr>
            <w:tcW w:type="dxa" w:w="1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h = 3</w:t>
            </w:r>
          </w:p>
        </w:tc>
        <w:tc>
          <w:tcPr>
            <w:tcW w:type="dxa" w:w="14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12.32</w:t>
            </w:r>
          </w:p>
        </w:tc>
        <w:tc>
          <w:tcPr>
            <w:tcW w:type="dxa" w:w="2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15.31</w:t>
            </w:r>
          </w:p>
        </w:tc>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0.158</w:t>
            </w:r>
          </w:p>
        </w:tc>
        <w:tc>
          <w:tcPr>
            <w:tcW w:type="dxa" w:w="18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81.1</w:t>
            </w:r>
          </w:p>
        </w:tc>
        <w:tc>
          <w:tcPr>
            <w:tcW w:type="dxa" w:w="17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37.6</w:t>
            </w:r>
          </w:p>
        </w:tc>
      </w:tr>
      <w:tr>
        <w:trPr>
          <w:cantSplit/>
          <w:tblHeader w:val="false"/>
        </w:trPr>
        <w:tc>
          <w:tcPr>
            <w:tcW w:type="dxa" w:w="1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h = 4</w:t>
            </w:r>
          </w:p>
        </w:tc>
        <w:tc>
          <w:tcPr>
            <w:tcW w:type="dxa" w:w="14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13.08</w:t>
            </w:r>
          </w:p>
        </w:tc>
        <w:tc>
          <w:tcPr>
            <w:tcW w:type="dxa" w:w="2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16.08</w:t>
            </w:r>
          </w:p>
        </w:tc>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0.178</w:t>
            </w:r>
          </w:p>
        </w:tc>
        <w:tc>
          <w:tcPr>
            <w:tcW w:type="dxa" w:w="18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82.0</w:t>
            </w:r>
          </w:p>
        </w:tc>
        <w:tc>
          <w:tcPr>
            <w:tcW w:type="dxa" w:w="17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8"/>
                <w:szCs w:val="18"/>
              </w:rPr>
              <w:t xml:space="preserve">41.5</w:t>
            </w:r>
          </w:p>
        </w:tc>
      </w:tr>
    </w:tbl>
    <w:p>
      <w:pPr>
        <w:spacing w:after="80"/>
      </w:pPr>
    </w:p>
    <w:p>
      <w:pPr>
        <w:pStyle w:val="Heading3"/>
        <w:keepNext/>
        <w:spacing w:after="60" w:before="140"/>
      </w:pPr>
      <w:r>
        <w:rPr>
          <w:rFonts w:ascii="Times New Roman" w:cs="Times New Roman" w:eastAsia="Times New Roman" w:hAnsi="Times New Roman"/>
        </w:rPr>
        <w:t xml:space="preserve">3.6.5 Where the Error Comes From: Market Liquidity</w:t>
      </w:r>
    </w:p>
    <w:p>
      <w:pPr>
        <w:spacing w:after="100" w:before="0" w:line="252"/>
        <w:jc w:val="both"/>
      </w:pPr>
      <w:r>
        <w:rPr>
          <w:rFonts w:ascii="Times New Roman" w:cs="Times New Roman" w:eastAsia="Times New Roman" w:hAnsi="Times New Roman"/>
          <w:sz w:val="23"/>
          <w:szCs w:val="23"/>
        </w:rPr>
        <w:t xml:space="preserve">Why does a well-tuned model still miss by 8.4 pp on average? Figure A4.8 splits the one-quarter-ahead error by the number of sales behind the target median. Error falls steeply with liquidity, from 15.2 pp in suburb-quarters with 5–9 sales to 8.2 pp with 80 or more. To see how much of this is avoidable, we estimated the </w:t>
      </w:r>
      <w:r>
        <w:rPr>
          <w:rFonts w:ascii="Times New Roman" w:cs="Times New Roman" w:eastAsia="Times New Roman" w:hAnsi="Times New Roman"/>
          <w:b/>
          <w:bCs/>
          <w:sz w:val="23"/>
          <w:szCs w:val="23"/>
        </w:rPr>
        <w:t xml:space="preserve">irreducible sampling error</w:t>
      </w:r>
      <w:r>
        <w:rPr>
          <w:rFonts w:ascii="Times New Roman" w:cs="Times New Roman" w:eastAsia="Times New Roman" w:hAnsi="Times New Roman"/>
          <w:sz w:val="23"/>
          <w:szCs w:val="23"/>
        </w:rPr>
        <w:t xml:space="preserve"> of each target median directly from the spread of prices sold in that suburb-quarter (standard error of a median ≈ 1.2533·σ/√n, with σ estimated robustly from the inter-quartile range). Only the </w:t>
      </w:r>
      <w:r>
        <w:rPr>
          <w:rFonts w:ascii="Times New Roman" w:cs="Times New Roman" w:eastAsia="Times New Roman" w:hAnsi="Times New Roman"/>
          <w:i/>
          <w:iCs/>
          <w:sz w:val="23"/>
          <w:szCs w:val="23"/>
        </w:rPr>
        <w:t xml:space="preserve">current</w:t>
      </w:r>
      <w:r>
        <w:rPr>
          <w:rFonts w:ascii="Times New Roman" w:cs="Times New Roman" w:eastAsia="Times New Roman" w:hAnsi="Times New Roman"/>
          <w:sz w:val="23"/>
          <w:szCs w:val="23"/>
        </w:rPr>
        <w:t xml:space="preserve"> quarter's sampling error is irreducible. The previous quarter's error is partly forecastable, because it reverses, which is exactly what the model exploits (§3.6.6). On this estimate, </w:t>
      </w:r>
      <w:r>
        <w:rPr>
          <w:rFonts w:ascii="Times New Roman" w:cs="Times New Roman" w:eastAsia="Times New Roman" w:hAnsi="Times New Roman"/>
          <w:b/>
          <w:bCs/>
          <w:sz w:val="23"/>
          <w:szCs w:val="23"/>
        </w:rPr>
        <w:t xml:space="preserve">about 75.9% of the model's error in typical suburbs (20–39 sales) is sampling noise that no model could remove</w:t>
      </w:r>
      <w:r>
        <w:rPr>
          <w:rFonts w:ascii="Times New Roman" w:cs="Times New Roman" w:eastAsia="Times New Roman" w:hAnsi="Times New Roman"/>
          <w:sz w:val="23"/>
          <w:szCs w:val="23"/>
        </w:rPr>
        <w:t xml:space="preserve">, falling to 55.2% in the most liquid suburbs (Table A4.12). Two consequences follow: better </w:t>
      </w:r>
      <w:r>
        <w:rPr>
          <w:rFonts w:ascii="Times New Roman" w:cs="Times New Roman" w:eastAsia="Times New Roman" w:hAnsi="Times New Roman"/>
          <w:i/>
          <w:iCs/>
          <w:sz w:val="23"/>
          <w:szCs w:val="23"/>
        </w:rPr>
        <w:t xml:space="preserve">measurement</w:t>
      </w:r>
      <w:r>
        <w:rPr>
          <w:rFonts w:ascii="Times New Roman" w:cs="Times New Roman" w:eastAsia="Times New Roman" w:hAnsi="Times New Roman"/>
          <w:sz w:val="23"/>
          <w:szCs w:val="23"/>
        </w:rPr>
        <w:t xml:space="preserve"> (a repeat-sales index, §3.13) would help more than a better </w:t>
      </w:r>
      <w:r>
        <w:rPr>
          <w:rFonts w:ascii="Times New Roman" w:cs="Times New Roman" w:eastAsia="Times New Roman" w:hAnsi="Times New Roman"/>
          <w:i/>
          <w:iCs/>
          <w:sz w:val="23"/>
          <w:szCs w:val="23"/>
        </w:rPr>
        <w:t xml:space="preserve">model</w:t>
      </w:r>
      <w:r>
        <w:rPr>
          <w:rFonts w:ascii="Times New Roman" w:cs="Times New Roman" w:eastAsia="Times New Roman" w:hAnsi="Times New Roman"/>
          <w:sz w:val="23"/>
          <w:szCs w:val="23"/>
        </w:rPr>
        <w:t xml:space="preserve">, and the reliability label in the app is rightly driven by sales volume.</w:t>
      </w:r>
    </w:p>
    <w:p>
      <w:pPr>
        <w:keepNext/>
        <w:spacing w:after="20" w:before="60"/>
        <w:jc w:val="center"/>
      </w:pPr>
      <w:r>
        <w:drawing>
          <wp:inline distT="0" distB="0" distL="0" distR="0">
            <wp:extent cx="4476750" cy="2266950"/>
            <wp:effectExtent t="0" r="0" b="0" l="0"/>
            <wp:docPr id="1" name="fig_liquidity.png" descr="MAE by number of sales in the target suburb-quarter (h = 1, all scored suburbs). Orange: estimated irreducible sampling error; percentages show its share of the LightGBM error." title="MAE by number of sales in the target suburb-quarter (h = 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266950"/>
                    </a:xfrm>
                    <a:prstGeom prst="rect">
                      <a:avLst/>
                    </a:prstGeom>
                  </pic:spPr>
                </pic:pic>
              </a:graphicData>
            </a:graphic>
          </wp:inline>
        </w:drawing>
      </w:r>
    </w:p>
    <w:p>
      <w:pPr>
        <w:keepNext w:val="false"/>
        <w:spacing w:after="140" w:before="40"/>
        <w:jc w:val="center"/>
      </w:pPr>
      <w:r>
        <w:rPr>
          <w:rFonts w:ascii="Times New Roman" w:cs="Times New Roman" w:eastAsia="Times New Roman" w:hAnsi="Times New Roman"/>
          <w:b/>
          <w:bCs/>
          <w:sz w:val="20"/>
          <w:szCs w:val="20"/>
        </w:rPr>
        <w:t xml:space="preserve">Figure A4.8 — </w:t>
      </w:r>
      <w:r>
        <w:rPr>
          <w:rFonts w:ascii="Times New Roman" w:cs="Times New Roman" w:eastAsia="Times New Roman" w:hAnsi="Times New Roman"/>
          <w:i/>
          <w:iCs/>
          <w:sz w:val="20"/>
          <w:szCs w:val="20"/>
        </w:rPr>
        <w:t xml:space="preserve">MAE by number of sales in the target suburb-quarter (h = 1, all scored suburbs). Orange: estimated irreducible sampling error; percentages show its share of the LightGBM error.</w:t>
      </w:r>
    </w:p>
    <w:p>
      <w:pPr>
        <w:keepNext/>
        <w:spacing w:after="140" w:before="40"/>
        <w:jc w:val="center"/>
      </w:pPr>
      <w:r>
        <w:rPr>
          <w:rFonts w:ascii="Times New Roman" w:cs="Times New Roman" w:eastAsia="Times New Roman" w:hAnsi="Times New Roman"/>
          <w:b/>
          <w:bCs/>
          <w:sz w:val="20"/>
          <w:szCs w:val="20"/>
        </w:rPr>
        <w:t xml:space="preserve">Table A4.12 — </w:t>
      </w:r>
      <w:r>
        <w:rPr>
          <w:rFonts w:ascii="Times New Roman" w:cs="Times New Roman" w:eastAsia="Times New Roman" w:hAnsi="Times New Roman"/>
          <w:i/>
          <w:iCs/>
          <w:sz w:val="20"/>
          <w:szCs w:val="20"/>
        </w:rPr>
        <w:t xml:space="preserve">Error, irreducible noise and band behaviour by liquidity band (h = 1, all scored suburbs).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150"/>
        <w:gridCol w:w="1050"/>
        <w:gridCol w:w="1300"/>
        <w:gridCol w:w="1400"/>
        <w:gridCol w:w="1250"/>
        <w:gridCol w:w="1188"/>
      </w:tblGrid>
      <w:tr>
        <w:trPr>
          <w:cantSplit/>
          <w:tblHeader/>
        </w:trPr>
        <w:tc>
          <w:tcPr>
            <w:tcW w:type="dxa" w:w="15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7"/>
                <w:szCs w:val="17"/>
              </w:rPr>
              <w:t xml:space="preserve">Sales in target quarter</w:t>
            </w:r>
          </w:p>
        </w:tc>
        <w:tc>
          <w:tcPr>
            <w:tcW w:type="dxa" w:w="8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7"/>
                <w:szCs w:val="17"/>
              </w:rPr>
              <w:t xml:space="preserve">N</w:t>
            </w:r>
          </w:p>
        </w:tc>
        <w:tc>
          <w:tcPr>
            <w:tcW w:type="dxa" w:w="115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7"/>
                <w:szCs w:val="17"/>
              </w:rPr>
              <w:t xml:space="preserve">MAE LightGBM</w:t>
            </w:r>
          </w:p>
        </w:tc>
        <w:tc>
          <w:tcPr>
            <w:tcW w:type="dxa" w:w="105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7"/>
                <w:szCs w:val="17"/>
              </w:rPr>
              <w:t xml:space="preserve">MAE naive</w:t>
            </w:r>
          </w:p>
        </w:tc>
        <w:tc>
          <w:tcPr>
            <w:tcW w:type="dxa" w:w="13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7"/>
                <w:szCs w:val="17"/>
              </w:rPr>
              <w:t xml:space="preserve">Sampling-noise floor</w:t>
            </w:r>
          </w:p>
        </w:tc>
        <w:tc>
          <w:tcPr>
            <w:tcW w:type="dxa" w:w="14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7"/>
                <w:szCs w:val="17"/>
              </w:rPr>
              <w:t xml:space="preserve">Share of error from noise</w:t>
            </w:r>
          </w:p>
        </w:tc>
        <w:tc>
          <w:tcPr>
            <w:tcW w:type="dxa" w:w="125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7"/>
                <w:szCs w:val="17"/>
              </w:rPr>
              <w:t xml:space="preserve">Band coverage (%)</w:t>
            </w:r>
          </w:p>
        </w:tc>
        <w:tc>
          <w:tcPr>
            <w:tcW w:type="dxa" w:w="1188"/>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b/>
                <w:bCs/>
                <w:sz w:val="17"/>
                <w:szCs w:val="17"/>
              </w:rPr>
              <w:t xml:space="preserve">Band width (pp)</w:t>
            </w:r>
          </w:p>
        </w:tc>
      </w:tr>
      <w:tr>
        <w:trPr>
          <w:cantSplit/>
          <w:tblHeader w:val="false"/>
        </w:trPr>
        <w:tc>
          <w:tcPr>
            <w:tcW w:type="dxa" w:w="1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5–9</w:t>
            </w:r>
          </w:p>
        </w:tc>
        <w:tc>
          <w:tcPr>
            <w:tcW w:type="dxa" w:w="8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1,292</w:t>
            </w:r>
          </w:p>
        </w:tc>
        <w:tc>
          <w:tcPr>
            <w:tcW w:type="dxa" w:w="11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15.15</w:t>
            </w:r>
          </w:p>
        </w:tc>
        <w:tc>
          <w:tcPr>
            <w:tcW w:type="dxa" w:w="10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30.78</w:t>
            </w:r>
          </w:p>
        </w:tc>
        <w:tc>
          <w:tcPr>
            <w:tcW w:type="dxa" w:w="1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11.23</w:t>
            </w:r>
          </w:p>
        </w:tc>
        <w:tc>
          <w:tcPr>
            <w:tcW w:type="dxa" w:w="14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74.1%</w:t>
            </w:r>
          </w:p>
        </w:tc>
        <w:tc>
          <w:tcPr>
            <w:tcW w:type="dxa" w:w="12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75.8</w:t>
            </w:r>
          </w:p>
        </w:tc>
        <w:tc>
          <w:tcPr>
            <w:tcW w:type="dxa" w:w="118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41.3</w:t>
            </w:r>
          </w:p>
        </w:tc>
      </w:tr>
      <w:tr>
        <w:trPr>
          <w:cantSplit/>
          <w:tblHeader w:val="false"/>
        </w:trPr>
        <w:tc>
          <w:tcPr>
            <w:tcW w:type="dxa" w:w="15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10–19</w:t>
            </w:r>
          </w:p>
        </w:tc>
        <w:tc>
          <w:tcPr>
            <w:tcW w:type="dxa" w:w="8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2,637</w:t>
            </w:r>
          </w:p>
        </w:tc>
        <w:tc>
          <w:tcPr>
            <w:tcW w:type="dxa" w:w="11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11.39</w:t>
            </w:r>
          </w:p>
        </w:tc>
        <w:tc>
          <w:tcPr>
            <w:tcW w:type="dxa" w:w="10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24.85</w:t>
            </w:r>
          </w:p>
        </w:tc>
        <w:tc>
          <w:tcPr>
            <w:tcW w:type="dxa" w:w="1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8.75</w:t>
            </w:r>
          </w:p>
        </w:tc>
        <w:tc>
          <w:tcPr>
            <w:tcW w:type="dxa" w:w="14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76.8%</w:t>
            </w:r>
          </w:p>
        </w:tc>
        <w:tc>
          <w:tcPr>
            <w:tcW w:type="dxa" w:w="12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80.8</w:t>
            </w:r>
          </w:p>
        </w:tc>
        <w:tc>
          <w:tcPr>
            <w:tcW w:type="dxa" w:w="118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34.8</w:t>
            </w:r>
          </w:p>
        </w:tc>
      </w:tr>
      <w:tr>
        <w:trPr>
          <w:cantSplit/>
          <w:tblHeader w:val="false"/>
        </w:trPr>
        <w:tc>
          <w:tcPr>
            <w:tcW w:type="dxa" w:w="1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20–39</w:t>
            </w:r>
          </w:p>
        </w:tc>
        <w:tc>
          <w:tcPr>
            <w:tcW w:type="dxa" w:w="8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2,319</w:t>
            </w:r>
          </w:p>
        </w:tc>
        <w:tc>
          <w:tcPr>
            <w:tcW w:type="dxa" w:w="11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8.76</w:t>
            </w:r>
          </w:p>
        </w:tc>
        <w:tc>
          <w:tcPr>
            <w:tcW w:type="dxa" w:w="10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18.36</w:t>
            </w:r>
          </w:p>
        </w:tc>
        <w:tc>
          <w:tcPr>
            <w:tcW w:type="dxa" w:w="1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6.65</w:t>
            </w:r>
          </w:p>
        </w:tc>
        <w:tc>
          <w:tcPr>
            <w:tcW w:type="dxa" w:w="14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75.9%</w:t>
            </w:r>
          </w:p>
        </w:tc>
        <w:tc>
          <w:tcPr>
            <w:tcW w:type="dxa" w:w="12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82.4</w:t>
            </w:r>
          </w:p>
        </w:tc>
        <w:tc>
          <w:tcPr>
            <w:tcW w:type="dxa" w:w="118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28.9</w:t>
            </w:r>
          </w:p>
        </w:tc>
      </w:tr>
      <w:tr>
        <w:trPr>
          <w:cantSplit/>
          <w:tblHeader w:val="false"/>
        </w:trPr>
        <w:tc>
          <w:tcPr>
            <w:tcW w:type="dxa" w:w="15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40–79</w:t>
            </w:r>
          </w:p>
        </w:tc>
        <w:tc>
          <w:tcPr>
            <w:tcW w:type="dxa" w:w="8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1,652</w:t>
            </w:r>
          </w:p>
        </w:tc>
        <w:tc>
          <w:tcPr>
            <w:tcW w:type="dxa" w:w="11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8.45</w:t>
            </w:r>
          </w:p>
        </w:tc>
        <w:tc>
          <w:tcPr>
            <w:tcW w:type="dxa" w:w="10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17.80</w:t>
            </w:r>
          </w:p>
        </w:tc>
        <w:tc>
          <w:tcPr>
            <w:tcW w:type="dxa" w:w="1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5.99</w:t>
            </w:r>
          </w:p>
        </w:tc>
        <w:tc>
          <w:tcPr>
            <w:tcW w:type="dxa" w:w="14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70.9%</w:t>
            </w:r>
          </w:p>
        </w:tc>
        <w:tc>
          <w:tcPr>
            <w:tcW w:type="dxa" w:w="125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81.4</w:t>
            </w:r>
          </w:p>
        </w:tc>
        <w:tc>
          <w:tcPr>
            <w:tcW w:type="dxa" w:w="118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27.4</w:t>
            </w:r>
          </w:p>
        </w:tc>
      </w:tr>
      <w:tr>
        <w:trPr>
          <w:cantSplit/>
          <w:tblHeader w:val="false"/>
        </w:trPr>
        <w:tc>
          <w:tcPr>
            <w:tcW w:type="dxa" w:w="15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7"/>
                <w:szCs w:val="17"/>
              </w:rPr>
              <w:t xml:space="preserve">80+</w:t>
            </w:r>
          </w:p>
        </w:tc>
        <w:tc>
          <w:tcPr>
            <w:tcW w:type="dxa" w:w="8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798</w:t>
            </w:r>
          </w:p>
        </w:tc>
        <w:tc>
          <w:tcPr>
            <w:tcW w:type="dxa" w:w="11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8.23</w:t>
            </w:r>
          </w:p>
        </w:tc>
        <w:tc>
          <w:tcPr>
            <w:tcW w:type="dxa" w:w="10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16.33</w:t>
            </w:r>
          </w:p>
        </w:tc>
        <w:tc>
          <w:tcPr>
            <w:tcW w:type="dxa" w:w="1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4.54</w:t>
            </w:r>
          </w:p>
        </w:tc>
        <w:tc>
          <w:tcPr>
            <w:tcW w:type="dxa" w:w="14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55.2%</w:t>
            </w:r>
          </w:p>
        </w:tc>
        <w:tc>
          <w:tcPr>
            <w:tcW w:type="dxa" w:w="125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78.8</w:t>
            </w:r>
          </w:p>
        </w:tc>
        <w:tc>
          <w:tcPr>
            <w:tcW w:type="dxa" w:w="118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right"/>
            </w:pPr>
            <w:r>
              <w:rPr>
                <w:rFonts w:ascii="Times New Roman" w:cs="Times New Roman" w:eastAsia="Times New Roman" w:hAnsi="Times New Roman"/>
                <w:sz w:val="17"/>
                <w:szCs w:val="17"/>
              </w:rPr>
              <w:t xml:space="preserve">24.5</w:t>
            </w:r>
          </w:p>
        </w:tc>
      </w:tr>
    </w:tbl>
    <w:p>
      <w:pPr>
        <w:spacing w:after="80"/>
      </w:pPr>
    </w:p>
    <w:p>
      <w:pPr>
        <w:spacing w:after="100" w:before="0" w:line="252"/>
        <w:jc w:val="both"/>
      </w:pPr>
      <w:r>
        <w:rPr>
          <w:rFonts w:ascii="Times New Roman" w:cs="Times New Roman" w:eastAsia="Times New Roman" w:hAnsi="Times New Roman"/>
          <w:sz w:val="23"/>
          <w:szCs w:val="23"/>
        </w:rPr>
        <w:t xml:space="preserve">The bands behave as intended across this range: they widen from 24.5 pp for the most liquid suburbs to 41.3 pp for the thinnest, and coverage stays between 75.8% and 82.4%. The thinnest band under-covers slightly, so the app labels those suburbs </w:t>
      </w:r>
      <w:r>
        <w:rPr>
          <w:rFonts w:ascii="Times New Roman" w:cs="Times New Roman" w:eastAsia="Times New Roman" w:hAnsi="Times New Roman"/>
          <w:i/>
          <w:iCs/>
          <w:sz w:val="23"/>
          <w:szCs w:val="23"/>
        </w:rPr>
        <w:t xml:space="preserve">low</w:t>
      </w:r>
      <w:r>
        <w:rPr>
          <w:rFonts w:ascii="Times New Roman" w:cs="Times New Roman" w:eastAsia="Times New Roman" w:hAnsi="Times New Roman"/>
          <w:sz w:val="23"/>
          <w:szCs w:val="23"/>
        </w:rPr>
        <w:t xml:space="preserve"> reliability.</w:t>
      </w:r>
    </w:p>
    <w:p>
      <w:pPr>
        <w:pStyle w:val="Heading3"/>
        <w:keepNext/>
        <w:spacing w:after="60" w:before="140"/>
      </w:pPr>
      <w:r>
        <w:rPr>
          <w:rFonts w:ascii="Times New Roman" w:cs="Times New Roman" w:eastAsia="Times New Roman" w:hAnsi="Times New Roman"/>
        </w:rPr>
        <w:t xml:space="preserve">3.6.6 What the Model Has Learned (SHAP)</w:t>
      </w:r>
    </w:p>
    <w:p>
      <w:pPr>
        <w:spacing w:after="100" w:before="0" w:line="252"/>
        <w:jc w:val="both"/>
      </w:pPr>
      <w:r>
        <w:rPr>
          <w:rFonts w:ascii="Times New Roman" w:cs="Times New Roman" w:eastAsia="Times New Roman" w:hAnsi="Times New Roman"/>
          <w:sz w:val="23"/>
          <w:szCs w:val="23"/>
        </w:rPr>
        <w:t xml:space="preserve">We used SHAP values (Lundberg &amp; Lee, 2017) on the champion trained through the last test origin to see which features drive its forecasts (Figure A4.9). One feature dominates: </w:t>
      </w:r>
      <w:r>
        <w:rPr>
          <w:rFonts w:ascii="Times New Roman" w:cs="Times New Roman" w:eastAsia="Times New Roman" w:hAnsi="Times New Roman"/>
          <w:b/>
          <w:bCs/>
          <w:sz w:val="23"/>
          <w:szCs w:val="23"/>
        </w:rPr>
        <w:t xml:space="preserve">deviation of the suburb's median from its own four-quarter trend accounts for 40.3% of total attribution</w:t>
      </w:r>
      <w:r>
        <w:rPr>
          <w:rFonts w:ascii="Times New Roman" w:cs="Times New Roman" w:eastAsia="Times New Roman" w:hAnsi="Times New Roman"/>
          <w:sz w:val="23"/>
          <w:szCs w:val="23"/>
        </w:rPr>
        <w:t xml:space="preserve">, and its effect is strongly negative. When a suburb's median sits well above its recent trend, the model forecasts a fall, and vice versa. This is the mean reversion that EDA Pass 2 detected as a negative autocorrelation (A2 §3.6.2), now learned explicitly. It also explains A2's apparent paradox that the lagged QoQ change was both negatively correlated with the target and the most important GB feature. Year-on-year change (12.0%), the eight-quarter mean (6.4%) and the price level (6.0%; dearer suburbs grew slightly less) come next. Market-wide signals (ABS growth lagged, regional momentum, NSW median) together contribute about 13.9%. The composition features we added for A4 (unit share and its change) contribute a modest 2.4%, and calendar seasonality almost nothing, consistent with A2's STL finding that seasonality explains only 0.4% of variance.</w:t>
      </w:r>
    </w:p>
    <w:p>
      <w:pPr>
        <w:keepNext/>
        <w:spacing w:after="20" w:before="60"/>
        <w:jc w:val="center"/>
      </w:pPr>
      <w:r>
        <w:drawing>
          <wp:inline distT="0" distB="0" distL="0" distR="0">
            <wp:extent cx="4953000" cy="2809875"/>
            <wp:effectExtent t="0" r="0" b="0" l="0"/>
            <wp:docPr id="1" name="fig_shap.png" descr="SHAP summary for LightGBM (h = 1, forecasts for 2026-Q2). Each dot is one suburb; colour is the feature value; position is its push on the forecast." title="SHAP summary for LightGBM (h = 1, forecasts for 2026-Q2). 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809875"/>
                    </a:xfrm>
                    <a:prstGeom prst="rect">
                      <a:avLst/>
                    </a:prstGeom>
                  </pic:spPr>
                </pic:pic>
              </a:graphicData>
            </a:graphic>
          </wp:inline>
        </w:drawing>
      </w:r>
    </w:p>
    <w:p>
      <w:pPr>
        <w:keepNext w:val="false"/>
        <w:spacing w:after="140" w:before="40"/>
        <w:jc w:val="center"/>
      </w:pPr>
      <w:r>
        <w:rPr>
          <w:rFonts w:ascii="Times New Roman" w:cs="Times New Roman" w:eastAsia="Times New Roman" w:hAnsi="Times New Roman"/>
          <w:b/>
          <w:bCs/>
          <w:sz w:val="20"/>
          <w:szCs w:val="20"/>
        </w:rPr>
        <w:t xml:space="preserve">Figure A4.9 — </w:t>
      </w:r>
      <w:r>
        <w:rPr>
          <w:rFonts w:ascii="Times New Roman" w:cs="Times New Roman" w:eastAsia="Times New Roman" w:hAnsi="Times New Roman"/>
          <w:i/>
          <w:iCs/>
          <w:sz w:val="20"/>
          <w:szCs w:val="20"/>
        </w:rPr>
        <w:t xml:space="preserve">SHAP summary for LightGBM (h = 1, forecasts for 2026-Q2). Each dot is one suburb; colour is the feature value; position is its push on the forecast.</w:t>
      </w:r>
    </w:p>
    <w:p>
      <w:pPr>
        <w:pStyle w:val="Heading2"/>
        <w:keepNext/>
        <w:spacing w:after="80" w:before="200"/>
      </w:pPr>
      <w:r>
        <w:rPr>
          <w:rFonts w:ascii="Times New Roman" w:cs="Times New Roman" w:eastAsia="Times New Roman" w:hAnsi="Times New Roman"/>
        </w:rPr>
        <w:t xml:space="preserve">3.7 Discussion of Results</w:t>
      </w:r>
    </w:p>
    <w:p>
      <w:pPr>
        <w:spacing w:after="100" w:before="0" w:line="252"/>
        <w:jc w:val="both"/>
      </w:pPr>
      <w:r>
        <w:rPr>
          <w:rFonts w:ascii="Times New Roman" w:cs="Times New Roman" w:eastAsia="Times New Roman" w:hAnsi="Times New Roman"/>
          <w:sz w:val="23"/>
          <w:szCs w:val="23"/>
        </w:rPr>
        <w:t xml:space="preserve">Taken together, the evaluation supports four conclusions, and we think each is more useful than a single accuracy number.</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Pooling across suburbs works, and it is the main source of skill.</w:t>
      </w:r>
      <w:r>
        <w:rPr>
          <w:rFonts w:ascii="Times New Roman" w:cs="Times New Roman" w:eastAsia="Times New Roman" w:hAnsi="Times New Roman"/>
          <w:sz w:val="23"/>
          <w:szCs w:val="23"/>
        </w:rPr>
        <w:t xml:space="preserve"> The pooled models beat per-suburb SARIMA and Prophet decisively and significantly. That vindicates the A2 decision to move from per-suburb to pooled modelling.</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Beyond one quarter, suburbs follow their region.</w:t>
      </w:r>
      <w:r>
        <w:rPr>
          <w:rFonts w:ascii="Times New Roman" w:cs="Times New Roman" w:eastAsia="Times New Roman" w:hAnsi="Times New Roman"/>
          <w:sz w:val="23"/>
          <w:szCs w:val="23"/>
        </w:rPr>
        <w:t xml:space="preserve"> Suburb-specific predictability is short-lived and largely mean-reversion. For two- to four-quarter forecasts, the defensible output is the regional trend plus a wide, honest band, which is exactly what the app now shows.</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The ceiling is measurement, not modelling.</w:t>
      </w:r>
      <w:r>
        <w:rPr>
          <w:rFonts w:ascii="Times New Roman" w:cs="Times New Roman" w:eastAsia="Times New Roman" w:hAnsi="Times New Roman"/>
          <w:sz w:val="23"/>
          <w:szCs w:val="23"/>
        </w:rPr>
        <w:t xml:space="preserve"> Five well-tuned model families land within 0.1 pp of each other, and error tracks sampling noise almost perfectly. The next real gain will come from better price measurement, not a bigger model.</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Calibrated uncertainty is achievable and cheap.</w:t>
      </w:r>
      <w:r>
        <w:rPr>
          <w:rFonts w:ascii="Times New Roman" w:cs="Times New Roman" w:eastAsia="Times New Roman" w:hAnsi="Times New Roman"/>
          <w:sz w:val="23"/>
          <w:szCs w:val="23"/>
        </w:rPr>
        <w:t xml:space="preserve"> CQR delivers close to nominal coverage at every horizon and in every segment for the cost of two extra LightGBM fits.</w:t>
      </w:r>
    </w:p>
    <w:p>
      <w:pPr>
        <w:spacing w:after="100" w:before="0" w:line="252"/>
        <w:jc w:val="both"/>
      </w:pPr>
      <w:r>
        <w:rPr>
          <w:rFonts w:ascii="Times New Roman" w:cs="Times New Roman" w:eastAsia="Times New Roman" w:hAnsi="Times New Roman"/>
          <w:sz w:val="23"/>
          <w:szCs w:val="23"/>
        </w:rPr>
        <w:t xml:space="preserve">Against the A1 problem statement, </w:t>
      </w:r>
      <w:r>
        <w:rPr>
          <w:rFonts w:ascii="Times New Roman" w:cs="Times New Roman" w:eastAsia="Times New Roman" w:hAnsi="Times New Roman"/>
          <w:i/>
          <w:iCs/>
          <w:sz w:val="23"/>
          <w:szCs w:val="23"/>
        </w:rPr>
        <w:t xml:space="preserve">can public sales data plus ABS data predict dwelling price changes one to four quarters ahead with acceptable accuracy?</w:t>
      </w:r>
      <w:r>
        <w:rPr>
          <w:rFonts w:ascii="Times New Roman" w:cs="Times New Roman" w:eastAsia="Times New Roman" w:hAnsi="Times New Roman"/>
          <w:sz w:val="23"/>
          <w:szCs w:val="23"/>
        </w:rPr>
        <w:t xml:space="preserve">, our answer is therefore qualified. </w:t>
      </w:r>
      <w:r>
        <w:rPr>
          <w:rFonts w:ascii="Times New Roman" w:cs="Times New Roman" w:eastAsia="Times New Roman" w:hAnsi="Times New Roman"/>
          <w:b/>
          <w:bCs/>
          <w:sz w:val="23"/>
          <w:szCs w:val="23"/>
        </w:rPr>
        <w:t xml:space="preserve">Yes for one quarter, and for direction at the regional level; only as a calibrated range for two to four quarters at suburb level.</w:t>
      </w:r>
      <w:r>
        <w:rPr>
          <w:rFonts w:ascii="Times New Roman" w:cs="Times New Roman" w:eastAsia="Times New Roman" w:hAnsi="Times New Roman"/>
          <w:sz w:val="23"/>
          <w:szCs w:val="23"/>
        </w:rPr>
        <w:t xml:space="preserve"> We would rather state that clearly than present a four-quarter point forecast with false confidence.</w:t>
      </w:r>
    </w:p>
    <w:p>
      <w:pPr>
        <w:pStyle w:val="Heading2"/>
        <w:keepNext/>
        <w:spacing w:after="80" w:before="200"/>
      </w:pPr>
      <w:r>
        <w:rPr>
          <w:rFonts w:ascii="Times New Roman" w:cs="Times New Roman" w:eastAsia="Times New Roman" w:hAnsi="Times New Roman"/>
        </w:rPr>
        <w:t xml:space="preserve">3.8 Deployment</w:t>
      </w:r>
    </w:p>
    <w:p>
      <w:pPr>
        <w:spacing w:after="100" w:before="0" w:line="252"/>
        <w:jc w:val="both"/>
      </w:pPr>
      <w:r>
        <w:rPr>
          <w:rFonts w:ascii="Times New Roman" w:cs="Times New Roman" w:eastAsia="Times New Roman" w:hAnsi="Times New Roman"/>
          <w:sz w:val="23"/>
          <w:szCs w:val="23"/>
        </w:rPr>
        <w:t xml:space="preserve">A2 ended with a working app that ran only on a team member's laptop. For A4 we treated deployment as an engineering problem with three separate concerns: what the app is allowed to see, how it is packaged, and how it stays current.</w:t>
      </w:r>
    </w:p>
    <w:p>
      <w:pPr>
        <w:pStyle w:val="Heading3"/>
        <w:keepNext/>
        <w:spacing w:after="60" w:before="140"/>
      </w:pPr>
      <w:r>
        <w:rPr>
          <w:rFonts w:ascii="Times New Roman" w:cs="Times New Roman" w:eastAsia="Times New Roman" w:hAnsi="Times New Roman"/>
        </w:rPr>
        <w:t xml:space="preserve">3.8.1 The Web Application (v4)</w:t>
      </w:r>
    </w:p>
    <w:p>
      <w:pPr>
        <w:spacing w:after="100" w:before="0" w:line="252"/>
        <w:jc w:val="both"/>
      </w:pPr>
      <w:r>
        <w:rPr>
          <w:rFonts w:ascii="Times New Roman" w:cs="Times New Roman" w:eastAsia="Times New Roman" w:hAnsi="Times New Roman"/>
          <w:sz w:val="23"/>
          <w:szCs w:val="23"/>
        </w:rPr>
        <w:t xml:space="preserve">The app was rebuilt around the forecasting output rather than the back-test tables. Its main page (Figure A4.10) shows, for any of the 1,279 suburbs with enough recent sales, the observed median price history, a four-quarter central forecast, the calibrated P10–P90 band as a shaded fan, and a reliability label (high/medium/low) based on recent sales volume and band width. Below the chart, a plain-language note states the typical back-tested error and explains </w:t>
      </w:r>
      <w:r>
        <w:rPr>
          <w:rFonts w:ascii="Times New Roman" w:cs="Times New Roman" w:eastAsia="Times New Roman" w:hAnsi="Times New Roman"/>
          <w:i/>
          <w:iCs/>
          <w:sz w:val="23"/>
          <w:szCs w:val="23"/>
        </w:rPr>
        <w:t xml:space="preserve">why</w:t>
      </w:r>
      <w:r>
        <w:rPr>
          <w:rFonts w:ascii="Times New Roman" w:cs="Times New Roman" w:eastAsia="Times New Roman" w:hAnsi="Times New Roman"/>
          <w:sz w:val="23"/>
          <w:szCs w:val="23"/>
        </w:rPr>
        <w:t xml:space="preserve"> a suburb median can jump for reasons unrelated to any one home's value. We added it because, during our own review of the A2 app, we kept reading large forecast swings as market calls when they were usually a change in the mix of homes sold. Three further tabs cover the regional market, model accuracy and data lineage.</w:t>
      </w:r>
    </w:p>
    <w:p>
      <w:pPr>
        <w:keepNext/>
        <w:spacing w:after="20" w:before="60"/>
        <w:jc w:val="center"/>
      </w:pPr>
      <w:r>
        <w:drawing>
          <wp:inline distT="0" distB="0" distL="0" distR="0">
            <wp:extent cx="5715000" cy="4733925"/>
            <wp:effectExtent t="0" r="0" b="0" l="0"/>
            <wp:docPr id="1" name="fig_app_forecast.png" descr="Web application v4, Suburb Forecast page (live screenshot, Parramatta). The shaded fan is the conformalised P10–P90 band from §3.5.4." title="Web application v4, Suburb Forecast page (live screensho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733925"/>
                    </a:xfrm>
                    <a:prstGeom prst="rect">
                      <a:avLst/>
                    </a:prstGeom>
                  </pic:spPr>
                </pic:pic>
              </a:graphicData>
            </a:graphic>
          </wp:inline>
        </w:drawing>
      </w:r>
    </w:p>
    <w:p>
      <w:pPr>
        <w:keepNext w:val="false"/>
        <w:spacing w:after="140" w:before="40"/>
        <w:jc w:val="center"/>
      </w:pPr>
      <w:r>
        <w:rPr>
          <w:rFonts w:ascii="Times New Roman" w:cs="Times New Roman" w:eastAsia="Times New Roman" w:hAnsi="Times New Roman"/>
          <w:b/>
          <w:bCs/>
          <w:sz w:val="20"/>
          <w:szCs w:val="20"/>
        </w:rPr>
        <w:t xml:space="preserve">Figure A4.10 — </w:t>
      </w:r>
      <w:r>
        <w:rPr>
          <w:rFonts w:ascii="Times New Roman" w:cs="Times New Roman" w:eastAsia="Times New Roman" w:hAnsi="Times New Roman"/>
          <w:i/>
          <w:iCs/>
          <w:sz w:val="20"/>
          <w:szCs w:val="20"/>
        </w:rPr>
        <w:t xml:space="preserve">Web application v4, Suburb Forecast page (live screenshot, Parramatta). The shaded fan is the conformalised P10–P90 band from §3.5.4.</w:t>
      </w:r>
    </w:p>
    <w:p>
      <w:pPr>
        <w:spacing w:after="100" w:before="0" w:line="252"/>
        <w:jc w:val="both"/>
      </w:pPr>
      <w:r>
        <w:rPr>
          <w:rFonts w:ascii="Times New Roman" w:cs="Times New Roman" w:eastAsia="Times New Roman" w:hAnsi="Times New Roman"/>
          <w:sz w:val="23"/>
          <w:szCs w:val="23"/>
        </w:rPr>
        <w:t xml:space="preserve">A deliberate design decision is that </w:t>
      </w:r>
      <w:r>
        <w:rPr>
          <w:rFonts w:ascii="Times New Roman" w:cs="Times New Roman" w:eastAsia="Times New Roman" w:hAnsi="Times New Roman"/>
          <w:b/>
          <w:bCs/>
          <w:sz w:val="23"/>
          <w:szCs w:val="23"/>
        </w:rPr>
        <w:t xml:space="preserve">the app never connects to the database or to sale-level data</w:t>
      </w:r>
      <w:r>
        <w:rPr>
          <w:rFonts w:ascii="Times New Roman" w:cs="Times New Roman" w:eastAsia="Times New Roman" w:hAnsi="Times New Roman"/>
          <w:sz w:val="23"/>
          <w:szCs w:val="23"/>
        </w:rPr>
        <w:t xml:space="preserve">. A publishing step (</w:t>
      </w:r>
      <w:r>
        <w:rPr>
          <w:rFonts w:ascii="Consolas" w:cs="Consolas" w:eastAsia="Consolas" w:hAnsi="Consolas"/>
          <w:color w:val="333333"/>
          <w:sz w:val="20"/>
          <w:szCs w:val="20"/>
        </w:rPr>
        <w:t xml:space="preserve">scripts/build_app_data.py</w:t>
      </w:r>
      <w:r>
        <w:rPr>
          <w:rFonts w:ascii="Times New Roman" w:cs="Times New Roman" w:eastAsia="Times New Roman" w:hAnsi="Times New Roman"/>
          <w:sz w:val="23"/>
          <w:szCs w:val="23"/>
        </w:rPr>
        <w:t xml:space="preserve">) exports five small, already-aggregated files to </w:t>
      </w:r>
      <w:r>
        <w:rPr>
          <w:rFonts w:ascii="Consolas" w:cs="Consolas" w:eastAsia="Consolas" w:hAnsi="Consolas"/>
          <w:color w:val="333333"/>
          <w:sz w:val="20"/>
          <w:szCs w:val="20"/>
        </w:rPr>
        <w:t xml:space="preserve">app/data/</w:t>
      </w:r>
      <w:r>
        <w:rPr>
          <w:rFonts w:ascii="Times New Roman" w:cs="Times New Roman" w:eastAsia="Times New Roman" w:hAnsi="Times New Roman"/>
          <w:sz w:val="23"/>
          <w:szCs w:val="23"/>
        </w:rPr>
        <w:t xml:space="preserve"> (0.57 MB in total), applying the five-sale suppression rule on the way out. This shrinks the attack surface to near zero, makes the app start in about two seconds, and means a deployed copy cannot leak an address even if misconfigured.</w:t>
      </w:r>
    </w:p>
    <w:p>
      <w:pPr>
        <w:keepNext/>
        <w:spacing w:after="20" w:before="60"/>
        <w:jc w:val="center"/>
      </w:pPr>
      <w:r>
        <w:drawing>
          <wp:inline distT="0" distB="0" distL="0" distR="0">
            <wp:extent cx="5334000" cy="4000500"/>
            <wp:effectExtent t="0" r="0" b="0" l="0"/>
            <wp:docPr id="1" name="fig_app_accuracy.png" descr="Model Accuracy tab: the same leaderboard and horizon comparison reported in §3.6, generated from the back-test tables." title="Model Accuracy tab: the same leaderboard and horizon comp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000500"/>
                    </a:xfrm>
                    <a:prstGeom prst="rect">
                      <a:avLst/>
                    </a:prstGeom>
                  </pic:spPr>
                </pic:pic>
              </a:graphicData>
            </a:graphic>
          </wp:inline>
        </w:drawing>
      </w:r>
    </w:p>
    <w:p>
      <w:pPr>
        <w:keepNext w:val="false"/>
        <w:spacing w:after="140" w:before="40"/>
        <w:jc w:val="center"/>
      </w:pPr>
      <w:r>
        <w:rPr>
          <w:rFonts w:ascii="Times New Roman" w:cs="Times New Roman" w:eastAsia="Times New Roman" w:hAnsi="Times New Roman"/>
          <w:b/>
          <w:bCs/>
          <w:sz w:val="20"/>
          <w:szCs w:val="20"/>
        </w:rPr>
        <w:t xml:space="preserve">Figure A4.11 — </w:t>
      </w:r>
      <w:r>
        <w:rPr>
          <w:rFonts w:ascii="Times New Roman" w:cs="Times New Roman" w:eastAsia="Times New Roman" w:hAnsi="Times New Roman"/>
          <w:i/>
          <w:iCs/>
          <w:sz w:val="20"/>
          <w:szCs w:val="20"/>
        </w:rPr>
        <w:t xml:space="preserve">Model Accuracy tab: the same leaderboard and horizon comparison reported in §3.6, generated from the back-test tables.</w:t>
      </w:r>
    </w:p>
    <w:p>
      <w:pPr>
        <w:pStyle w:val="Heading3"/>
        <w:keepNext/>
        <w:spacing w:after="60" w:before="140"/>
      </w:pPr>
      <w:r>
        <w:rPr>
          <w:rFonts w:ascii="Times New Roman" w:cs="Times New Roman" w:eastAsia="Times New Roman" w:hAnsi="Times New Roman"/>
        </w:rPr>
        <w:t xml:space="preserve">3.8.2 Packaging, Continuous Integration and Scheduling</w:t>
      </w:r>
    </w:p>
    <w:p>
      <w:pPr>
        <w:keepNext/>
        <w:spacing w:after="140" w:before="40"/>
        <w:jc w:val="center"/>
      </w:pPr>
      <w:r>
        <w:rPr>
          <w:rFonts w:ascii="Times New Roman" w:cs="Times New Roman" w:eastAsia="Times New Roman" w:hAnsi="Times New Roman"/>
          <w:b/>
          <w:bCs/>
          <w:sz w:val="20"/>
          <w:szCs w:val="20"/>
        </w:rPr>
        <w:t xml:space="preserve">Table A4.13 — </w:t>
      </w:r>
      <w:r>
        <w:rPr>
          <w:rFonts w:ascii="Times New Roman" w:cs="Times New Roman" w:eastAsia="Times New Roman" w:hAnsi="Times New Roman"/>
          <w:i/>
          <w:iCs/>
          <w:sz w:val="20"/>
          <w:szCs w:val="20"/>
        </w:rPr>
        <w:t xml:space="preserve">Deployment artefacts.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5100"/>
        <w:gridCol w:w="1838"/>
      </w:tblGrid>
      <w:tr>
        <w:trPr>
          <w:cantSplit/>
          <w:tblHeader/>
        </w:trPr>
        <w:tc>
          <w:tcPr>
            <w:tcW w:type="dxa" w:w="27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Artefact</w:t>
            </w:r>
          </w:p>
        </w:tc>
        <w:tc>
          <w:tcPr>
            <w:tcW w:type="dxa" w:w="51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What it does</w:t>
            </w:r>
          </w:p>
        </w:tc>
        <w:tc>
          <w:tcPr>
            <w:tcW w:type="dxa" w:w="1838"/>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Status</w:t>
            </w:r>
          </w:p>
        </w:tc>
      </w:tr>
      <w:tr>
        <w:trPr>
          <w:cantSplit/>
          <w:tblHeader w:val="false"/>
        </w:trPr>
        <w:tc>
          <w:tcPr>
            <w:tcW w:type="dxa" w:w="27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Dockerfile</w:t>
            </w:r>
          </w:p>
        </w:tc>
        <w:tc>
          <w:tcPr>
            <w:tcW w:type="dxa" w:w="5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Python 3.11-slim image with only the five app dependencies; runs as a non-root user; health check on Streamlit's </w:t>
            </w:r>
            <w:r>
              <w:rPr>
                <w:rFonts w:ascii="Consolas" w:cs="Consolas" w:eastAsia="Consolas" w:hAnsi="Consolas"/>
                <w:color w:val="333333"/>
                <w:sz w:val="15"/>
                <w:szCs w:val="15"/>
              </w:rPr>
              <w:t xml:space="preserve">/_stcore/health</w:t>
            </w:r>
          </w:p>
        </w:tc>
        <w:tc>
          <w:tcPr>
            <w:tcW w:type="dxa" w:w="18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Written and reviewed</w:t>
            </w:r>
          </w:p>
        </w:tc>
      </w:tr>
      <w:tr>
        <w:trPr>
          <w:cantSplit/>
          <w:tblHeader w:val="false"/>
        </w:trPr>
        <w:tc>
          <w:tcPr>
            <w:tcW w:type="dxa" w:w="27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requirements-app.txt</w:t>
            </w:r>
          </w:p>
        </w:tc>
        <w:tc>
          <w:tcPr>
            <w:tcW w:type="dxa" w:w="5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Minimal runtime for Streamlit Community Cloud (the A2-recommended host)</w:t>
            </w:r>
          </w:p>
        </w:tc>
        <w:tc>
          <w:tcPr>
            <w:tcW w:type="dxa" w:w="18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Tested locally</w:t>
            </w:r>
          </w:p>
        </w:tc>
      </w:tr>
      <w:tr>
        <w:trPr>
          <w:cantSplit/>
          <w:tblHeader w:val="false"/>
        </w:trPr>
        <w:tc>
          <w:tcPr>
            <w:tcW w:type="dxa" w:w="27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.github/workflows/ci.yml</w:t>
            </w:r>
          </w:p>
        </w:tc>
        <w:tc>
          <w:tcPr>
            <w:tcW w:type="dxa" w:w="5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On every push/PR: install pinned deps, lint with ruff, run the test suite, apply both schema files to a throw-away PostgreSQL 16 service (twice, to prove idempotence)</w:t>
            </w:r>
          </w:p>
        </w:tc>
        <w:tc>
          <w:tcPr>
            <w:tcW w:type="dxa" w:w="18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Ready to activate on push</w:t>
            </w:r>
          </w:p>
        </w:tc>
      </w:tr>
      <w:tr>
        <w:trPr>
          <w:cantSplit/>
          <w:tblHeader w:val="false"/>
        </w:trPr>
        <w:tc>
          <w:tcPr>
            <w:tcW w:type="dxa" w:w="27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.github/workflows/weekly_refresh.yml</w:t>
            </w:r>
          </w:p>
        </w:tc>
        <w:tc>
          <w:tcPr>
            <w:tcW w:type="dxa" w:w="5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Every Tuesday 06:00 AEDT (after the Valuer General's Monday release): acquire → parse → clean → features → forecast → publish → load DB → test; commits refreshed app data, which triggers a Streamlit Cloud redeploy</w:t>
            </w:r>
          </w:p>
        </w:tc>
        <w:tc>
          <w:tcPr>
            <w:tcW w:type="dxa" w:w="18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Ready to activate on push</w:t>
            </w:r>
          </w:p>
        </w:tc>
      </w:tr>
      <w:tr>
        <w:trPr>
          <w:cantSplit/>
          <w:tblHeader w:val="false"/>
        </w:trPr>
        <w:tc>
          <w:tcPr>
            <w:tcW w:type="dxa" w:w="27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Makefile</w:t>
            </w:r>
            <w:r>
              <w:rPr>
                <w:rFonts w:ascii="Times New Roman" w:cs="Times New Roman" w:eastAsia="Times New Roman" w:hAnsi="Times New Roman"/>
                <w:sz w:val="18"/>
                <w:szCs w:val="18"/>
              </w:rPr>
              <w:t xml:space="preserve"> / pipeline CLI</w:t>
            </w:r>
          </w:p>
        </w:tc>
        <w:tc>
          <w:tcPr>
            <w:tcW w:type="dxa" w:w="5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make all</w:t>
            </w:r>
            <w:r>
              <w:rPr>
                <w:rFonts w:ascii="Times New Roman" w:cs="Times New Roman" w:eastAsia="Times New Roman" w:hAnsi="Times New Roman"/>
                <w:sz w:val="18"/>
                <w:szCs w:val="18"/>
              </w:rPr>
              <w:t xml:space="preserve"> reproduces every number in this report from raw archives</w:t>
            </w:r>
          </w:p>
        </w:tc>
        <w:tc>
          <w:tcPr>
            <w:tcW w:type="dxa" w:w="18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Run end-to-end for this report</w:t>
            </w:r>
          </w:p>
        </w:tc>
      </w:tr>
    </w:tbl>
    <w:p>
      <w:pPr>
        <w:spacing w:after="80"/>
      </w:pPr>
    </w:p>
    <w:p>
      <w:pPr>
        <w:spacing w:after="100" w:before="0" w:line="252"/>
        <w:jc w:val="both"/>
      </w:pPr>
      <w:r>
        <w:rPr>
          <w:rFonts w:ascii="Times New Roman" w:cs="Times New Roman" w:eastAsia="Times New Roman" w:hAnsi="Times New Roman"/>
          <w:sz w:val="23"/>
          <w:szCs w:val="23"/>
        </w:rPr>
        <w:t xml:space="preserve">The full pipeline run is not free. The statistical back-test dominates (about two hours on two CPU cores, almost all of it SARIMA and Prophet fitting). So the weekly job deliberately </w:t>
      </w:r>
      <w:r>
        <w:rPr>
          <w:rFonts w:ascii="Times New Roman" w:cs="Times New Roman" w:eastAsia="Times New Roman" w:hAnsi="Times New Roman"/>
          <w:b/>
          <w:bCs/>
          <w:sz w:val="23"/>
          <w:szCs w:val="23"/>
        </w:rPr>
        <w:t xml:space="preserve">excludes</w:t>
      </w:r>
      <w:r>
        <w:rPr>
          <w:rFonts w:ascii="Times New Roman" w:cs="Times New Roman" w:eastAsia="Times New Roman" w:hAnsi="Times New Roman"/>
          <w:sz w:val="23"/>
          <w:szCs w:val="23"/>
        </w:rPr>
        <w:t xml:space="preserve"> the back-test: it re-trains and re-forecasts, which takes a few minutes, and the back-test is re-run at each tagged release. This keeps the published model and its quoted accuracy in step without paying for a full evaluation every week.</w:t>
      </w:r>
    </w:p>
    <w:p>
      <w:pPr>
        <w:pStyle w:val="Heading2"/>
        <w:keepNext/>
        <w:spacing w:after="80" w:before="200"/>
      </w:pPr>
      <w:r>
        <w:rPr>
          <w:rFonts w:ascii="Times New Roman" w:cs="Times New Roman" w:eastAsia="Times New Roman" w:hAnsi="Times New Roman"/>
        </w:rPr>
        <w:t xml:space="preserve">3.9 Deployment Readiness</w:t>
      </w:r>
    </w:p>
    <w:p>
      <w:pPr>
        <w:spacing w:after="100" w:before="0" w:line="252"/>
        <w:jc w:val="both"/>
      </w:pPr>
      <w:r>
        <w:rPr>
          <w:rFonts w:ascii="Times New Roman" w:cs="Times New Roman" w:eastAsia="Times New Roman" w:hAnsi="Times New Roman"/>
          <w:sz w:val="23"/>
          <w:szCs w:val="23"/>
        </w:rPr>
        <w:t xml:space="preserve">We assessed readiness against a short checklist we would apply to any analytics product going in front of non-technical users (Table A4.14). Our honest summary: the system is </w:t>
      </w:r>
      <w:r>
        <w:rPr>
          <w:rFonts w:ascii="Times New Roman" w:cs="Times New Roman" w:eastAsia="Times New Roman" w:hAnsi="Times New Roman"/>
          <w:b/>
          <w:bCs/>
          <w:sz w:val="23"/>
          <w:szCs w:val="23"/>
        </w:rPr>
        <w:t xml:space="preserve">ready for a supervised public pilot</w:t>
      </w:r>
      <w:r>
        <w:rPr>
          <w:rFonts w:ascii="Times New Roman" w:cs="Times New Roman" w:eastAsia="Times New Roman" w:hAnsi="Times New Roman"/>
          <w:sz w:val="23"/>
          <w:szCs w:val="23"/>
        </w:rPr>
        <w:t xml:space="preserve"> but not for unsupervised production use. The two gaps are organisational rather than technical: the workflows have to be pushed to the team's GitHub to go live, and there is no named owner for the weekly job after the semester ends.</w:t>
      </w:r>
    </w:p>
    <w:p>
      <w:pPr>
        <w:keepNext/>
        <w:spacing w:after="140" w:before="40"/>
        <w:jc w:val="center"/>
      </w:pPr>
      <w:r>
        <w:rPr>
          <w:rFonts w:ascii="Times New Roman" w:cs="Times New Roman" w:eastAsia="Times New Roman" w:hAnsi="Times New Roman"/>
          <w:b/>
          <w:bCs/>
          <w:sz w:val="20"/>
          <w:szCs w:val="20"/>
        </w:rPr>
        <w:t xml:space="preserve">Table A4.14 — </w:t>
      </w:r>
      <w:r>
        <w:rPr>
          <w:rFonts w:ascii="Times New Roman" w:cs="Times New Roman" w:eastAsia="Times New Roman" w:hAnsi="Times New Roman"/>
          <w:i/>
          <w:iCs/>
          <w:sz w:val="20"/>
          <w:szCs w:val="20"/>
        </w:rPr>
        <w:t xml:space="preserve">Deployment readiness 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338"/>
        <w:gridCol w:w="1300"/>
      </w:tblGrid>
      <w:tr>
        <w:trPr>
          <w:cantSplit/>
          <w:tblHeader/>
        </w:trPr>
        <w:tc>
          <w:tcPr>
            <w:tcW w:type="dxa" w:w="30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Criterion</w:t>
            </w:r>
          </w:p>
        </w:tc>
        <w:tc>
          <w:tcPr>
            <w:tcW w:type="dxa" w:w="5338"/>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Evidence</w:t>
            </w:r>
          </w:p>
        </w:tc>
        <w:tc>
          <w:tcPr>
            <w:tcW w:type="dxa" w:w="13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Ready?</w:t>
            </w:r>
          </w:p>
        </w:tc>
      </w:tr>
      <w:tr>
        <w:trPr>
          <w:cantSplit/>
          <w:tblHeader w:val="false"/>
        </w:trPr>
        <w:tc>
          <w:tcPr>
            <w:tcW w:type="dxa" w:w="3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Reproducible from raw data</w:t>
            </w:r>
          </w:p>
        </w:tc>
        <w:tc>
          <w:tcPr>
            <w:tcW w:type="dxa" w:w="53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Pipeline reproduces A2 Table 3.1 to within one record (§3.4.1)</w:t>
            </w:r>
          </w:p>
        </w:tc>
        <w:tc>
          <w:tcPr>
            <w:tcW w:type="dxa" w:w="1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Yes</w:t>
            </w:r>
          </w:p>
        </w:tc>
      </w:tr>
      <w:tr>
        <w:trPr>
          <w:cantSplit/>
          <w:tblHeader w:val="false"/>
        </w:trPr>
        <w:tc>
          <w:tcPr>
            <w:tcW w:type="dxa" w:w="3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Automated tests pass</w:t>
            </w:r>
          </w:p>
        </w:tc>
        <w:tc>
          <w:tcPr>
            <w:tcW w:type="dxa" w:w="53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13 tests, including look-ahead and suppression tests (Figure A4.12)</w:t>
            </w:r>
          </w:p>
        </w:tc>
        <w:tc>
          <w:tcPr>
            <w:tcW w:type="dxa" w:w="1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Yes</w:t>
            </w:r>
          </w:p>
        </w:tc>
      </w:tr>
      <w:tr>
        <w:trPr>
          <w:cantSplit/>
          <w:tblHeader w:val="false"/>
        </w:trPr>
        <w:tc>
          <w:tcPr>
            <w:tcW w:type="dxa" w:w="3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Accuracy known and published</w:t>
            </w:r>
          </w:p>
        </w:tc>
        <w:tc>
          <w:tcPr>
            <w:tcW w:type="dxa" w:w="53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Common-window back-test, shown in the app</w:t>
            </w:r>
          </w:p>
        </w:tc>
        <w:tc>
          <w:tcPr>
            <w:tcW w:type="dxa" w:w="1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Yes</w:t>
            </w:r>
          </w:p>
        </w:tc>
      </w:tr>
      <w:tr>
        <w:trPr>
          <w:cantSplit/>
          <w:tblHeader w:val="false"/>
        </w:trPr>
        <w:tc>
          <w:tcPr>
            <w:tcW w:type="dxa" w:w="3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Uncertainty calibrated</w:t>
            </w:r>
          </w:p>
        </w:tc>
        <w:tc>
          <w:tcPr>
            <w:tcW w:type="dxa" w:w="53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CQR bands hit 80.4–81.3% coverage against an 80% target</w:t>
            </w:r>
          </w:p>
        </w:tc>
        <w:tc>
          <w:tcPr>
            <w:tcW w:type="dxa" w:w="1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Yes</w:t>
            </w:r>
          </w:p>
        </w:tc>
      </w:tr>
      <w:tr>
        <w:trPr>
          <w:cantSplit/>
          <w:tblHeader w:val="false"/>
        </w:trPr>
        <w:tc>
          <w:tcPr>
            <w:tcW w:type="dxa" w:w="3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Privacy controls enforced in code</w:t>
            </w:r>
          </w:p>
        </w:tc>
        <w:tc>
          <w:tcPr>
            <w:tcW w:type="dxa" w:w="53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Suppression view, app reads aggregates only, role tests (Figure A4.3)</w:t>
            </w:r>
          </w:p>
        </w:tc>
        <w:tc>
          <w:tcPr>
            <w:tcW w:type="dxa" w:w="1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Yes</w:t>
            </w:r>
          </w:p>
        </w:tc>
      </w:tr>
      <w:tr>
        <w:trPr>
          <w:cantSplit/>
          <w:tblHeader w:val="false"/>
        </w:trPr>
        <w:tc>
          <w:tcPr>
            <w:tcW w:type="dxa" w:w="3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Model versioned and traceable</w:t>
            </w:r>
          </w:p>
        </w:tc>
        <w:tc>
          <w:tcPr>
            <w:tcW w:type="dxa" w:w="53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Consolas" w:cs="Consolas" w:eastAsia="Consolas" w:hAnsi="Consolas"/>
                <w:color w:val="333333"/>
                <w:sz w:val="15"/>
                <w:szCs w:val="15"/>
              </w:rPr>
              <w:t xml:space="preserve">model_registry</w:t>
            </w:r>
            <w:r>
              <w:rPr>
                <w:rFonts w:ascii="Times New Roman" w:cs="Times New Roman" w:eastAsia="Times New Roman" w:hAnsi="Times New Roman"/>
                <w:sz w:val="18"/>
                <w:szCs w:val="18"/>
              </w:rPr>
              <w:t xml:space="preserve"> with SHA-256 of each artefact; CHANGELOG</w:t>
            </w:r>
          </w:p>
        </w:tc>
        <w:tc>
          <w:tcPr>
            <w:tcW w:type="dxa" w:w="1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Yes</w:t>
            </w:r>
          </w:p>
        </w:tc>
      </w:tr>
      <w:tr>
        <w:trPr>
          <w:cantSplit/>
          <w:tblHeader w:val="false"/>
        </w:trPr>
        <w:tc>
          <w:tcPr>
            <w:tcW w:type="dxa" w:w="3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Monitoring &amp; alerting</w:t>
            </w:r>
          </w:p>
        </w:tc>
        <w:tc>
          <w:tcPr>
            <w:tcW w:type="dxa" w:w="53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Pipeline audit log exists; no automated drift alert yet</w:t>
            </w:r>
          </w:p>
        </w:tc>
        <w:tc>
          <w:tcPr>
            <w:tcW w:type="dxa" w:w="1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Partial</w:t>
            </w:r>
          </w:p>
        </w:tc>
      </w:tr>
      <w:tr>
        <w:trPr>
          <w:cantSplit/>
          <w:tblHeader w:val="false"/>
        </w:trPr>
        <w:tc>
          <w:tcPr>
            <w:tcW w:type="dxa" w:w="30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Live public URL</w:t>
            </w:r>
          </w:p>
        </w:tc>
        <w:tc>
          <w:tcPr>
            <w:tcW w:type="dxa" w:w="53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Config complete; requires push to team GitHub + Streamlit Cloud connect (~2 min)</w:t>
            </w:r>
          </w:p>
        </w:tc>
        <w:tc>
          <w:tcPr>
            <w:tcW w:type="dxa" w:w="13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Pending team action</w:t>
            </w:r>
          </w:p>
        </w:tc>
      </w:tr>
      <w:tr>
        <w:trPr>
          <w:cantSplit/>
          <w:tblHeader w:val="false"/>
        </w:trPr>
        <w:tc>
          <w:tcPr>
            <w:tcW w:type="dxa" w:w="30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Operational owner after semester</w:t>
            </w:r>
          </w:p>
        </w:tc>
        <w:tc>
          <w:tcPr>
            <w:tcW w:type="dxa" w:w="53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Not assigned</w:t>
            </w:r>
          </w:p>
        </w:tc>
        <w:tc>
          <w:tcPr>
            <w:tcW w:type="dxa" w:w="13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No</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DB4" w:sz="4"/>
              <w:left w:val="single" w:color="A6ADB4" w:sz="4"/>
              <w:bottom w:val="single" w:color="A6ADB4" w:sz="4"/>
              <w:right w:val="single" w:color="A6ADB4" w:sz="4"/>
            </w:tcBorders>
            <w:shd w:fill="F4F5F7" w:color="auto" w:val="clear"/>
            <w:tcMar>
              <w:top w:type="dxa" w:w="60"/>
              <w:left w:type="dxa" w:w="120"/>
              <w:bottom w:type="dxa" w:w="60"/>
              <w:right w:type="dxa" w:w="120"/>
            </w:tcMar>
          </w:tcPr>
          <w:p>
            <w:pPr>
              <w:spacing w:after="0" w:line="220"/>
            </w:pPr>
            <w:r>
              <w:rPr>
                <w:rFonts w:ascii="Consolas" w:cs="Consolas" w:eastAsia="Consolas" w:hAnsi="Consolas"/>
                <w:sz w:val="15"/>
                <w:szCs w:val="15"/>
              </w:rPr>
              <w:t xml:space="preserve">$ pytest -v</w:t>
            </w:r>
          </w:p>
          <w:p>
            <w:pPr>
              <w:spacing w:after="0" w:line="220"/>
            </w:pPr>
            <w:r>
              <w:rPr>
                <w:rFonts w:ascii="Consolas" w:cs="Consolas" w:eastAsia="Consolas" w:hAnsi="Consolas"/>
                <w:sz w:val="15"/>
                <w:szCs w:val="15"/>
              </w:rPr>
              <w:t xml:space="preserve">test_parser_reads_nested_archives PASSED</w:t>
            </w:r>
          </w:p>
          <w:p>
            <w:pPr>
              <w:spacing w:after="0" w:line="220"/>
            </w:pPr>
            <w:r>
              <w:rPr>
                <w:rFonts w:ascii="Consolas" w:cs="Consolas" w:eastAsia="Consolas" w:hAnsi="Consolas"/>
                <w:sz w:val="15"/>
                <w:szCs w:val="15"/>
              </w:rPr>
              <w:t xml:space="preserve">test_cleaning_rules_and_reconciliation PASSED</w:t>
            </w:r>
          </w:p>
          <w:p>
            <w:pPr>
              <w:spacing w:after="0" w:line="220"/>
            </w:pPr>
            <w:r>
              <w:rPr>
                <w:rFonts w:ascii="Consolas" w:cs="Consolas" w:eastAsia="Consolas" w:hAnsi="Consolas"/>
                <w:sz w:val="15"/>
                <w:szCs w:val="15"/>
              </w:rPr>
              <w:t xml:space="preserve">test_outliers_flagged_not_deleted PASSED</w:t>
            </w:r>
          </w:p>
          <w:p>
            <w:pPr>
              <w:spacing w:after="0" w:line="220"/>
            </w:pPr>
            <w:r>
              <w:rPr>
                <w:rFonts w:ascii="Consolas" w:cs="Consolas" w:eastAsia="Consolas" w:hAnsi="Consolas"/>
                <w:sz w:val="15"/>
                <w:szCs w:val="15"/>
              </w:rPr>
              <w:t xml:space="preserve">test_grid_is_complete_and_qoq_never_spans_a_gap PASSED</w:t>
            </w:r>
          </w:p>
          <w:p>
            <w:pPr>
              <w:spacing w:after="0" w:line="220"/>
            </w:pPr>
            <w:r>
              <w:rPr>
                <w:rFonts w:ascii="Consolas" w:cs="Consolas" w:eastAsia="Consolas" w:hAnsi="Consolas"/>
                <w:sz w:val="15"/>
                <w:szCs w:val="15"/>
              </w:rPr>
              <w:t xml:space="preserve">test_partial_quarter_has_no_target PASSED</w:t>
            </w:r>
          </w:p>
          <w:p>
            <w:pPr>
              <w:spacing w:after="0" w:line="220"/>
            </w:pPr>
            <w:r>
              <w:rPr>
                <w:rFonts w:ascii="Consolas" w:cs="Consolas" w:eastAsia="Consolas" w:hAnsi="Consolas"/>
                <w:sz w:val="15"/>
                <w:szCs w:val="15"/>
              </w:rPr>
              <w:t xml:space="preserve">test_features_do_not_look_ahead PASSED</w:t>
            </w:r>
          </w:p>
          <w:p>
            <w:pPr>
              <w:spacing w:after="0" w:line="220"/>
            </w:pPr>
            <w:r>
              <w:rPr>
                <w:rFonts w:ascii="Consolas" w:cs="Consolas" w:eastAsia="Consolas" w:hAnsi="Consolas"/>
                <w:sz w:val="15"/>
                <w:szCs w:val="15"/>
              </w:rPr>
              <w:t xml:space="preserve">test_abs_regressor_is_lagged_one_quarter PASSED</w:t>
            </w:r>
          </w:p>
          <w:p>
            <w:pPr>
              <w:spacing w:after="0" w:line="220"/>
            </w:pPr>
            <w:r>
              <w:rPr>
                <w:rFonts w:ascii="Consolas" w:cs="Consolas" w:eastAsia="Consolas" w:hAnsi="Consolas"/>
                <w:sz w:val="15"/>
                <w:szCs w:val="15"/>
              </w:rPr>
              <w:t xml:space="preserve">test_metrics_known_values PASSED</w:t>
            </w:r>
          </w:p>
          <w:p>
            <w:pPr>
              <w:spacing w:after="0" w:line="220"/>
            </w:pPr>
            <w:r>
              <w:rPr>
                <w:rFonts w:ascii="Consolas" w:cs="Consolas" w:eastAsia="Consolas" w:hAnsi="Consolas"/>
                <w:sz w:val="15"/>
                <w:szCs w:val="15"/>
              </w:rPr>
              <w:t xml:space="preserve">test_interval_scores_coverage PASSED</w:t>
            </w:r>
          </w:p>
          <w:p>
            <w:pPr>
              <w:spacing w:after="0" w:line="220"/>
            </w:pPr>
            <w:r>
              <w:rPr>
                <w:rFonts w:ascii="Consolas" w:cs="Consolas" w:eastAsia="Consolas" w:hAnsi="Consolas"/>
                <w:sz w:val="15"/>
                <w:szCs w:val="15"/>
              </w:rPr>
              <w:t xml:space="preserve">test_diebold_mariano_detects_better_model PASSED</w:t>
            </w:r>
          </w:p>
          <w:p>
            <w:pPr>
              <w:spacing w:after="0" w:line="220"/>
            </w:pPr>
            <w:r>
              <w:rPr>
                <w:rFonts w:ascii="Consolas" w:cs="Consolas" w:eastAsia="Consolas" w:hAnsi="Consolas"/>
                <w:sz w:val="15"/>
                <w:szCs w:val="15"/>
              </w:rPr>
              <w:t xml:space="preserve">test_sample_weight_is_capped_sqrt PASSED</w:t>
            </w:r>
          </w:p>
          <w:p>
            <w:pPr>
              <w:spacing w:after="0" w:line="220"/>
            </w:pPr>
            <w:r>
              <w:rPr>
                <w:rFonts w:ascii="Consolas" w:cs="Consolas" w:eastAsia="Consolas" w:hAnsi="Consolas"/>
                <w:sz w:val="15"/>
                <w:szCs w:val="15"/>
              </w:rPr>
              <w:t xml:space="preserve">test_full_run_reproduces_a2_table_3_1 PASSED</w:t>
            </w:r>
          </w:p>
          <w:p>
            <w:pPr>
              <w:spacing w:after="0" w:line="220"/>
            </w:pPr>
            <w:r>
              <w:rPr>
                <w:rFonts w:ascii="Consolas" w:cs="Consolas" w:eastAsia="Consolas" w:hAnsi="Consolas"/>
                <w:sz w:val="15"/>
                <w:szCs w:val="15"/>
              </w:rPr>
              <w:t xml:space="preserve">test_published_forecasts_are_ordered_and_suppressed PASSED</w:t>
            </w:r>
          </w:p>
          <w:p>
            <w:pPr>
              <w:spacing w:after="0" w:line="220"/>
            </w:pPr>
            <w:r>
              <w:rPr>
                <w:rFonts w:ascii="Consolas" w:cs="Consolas" w:eastAsia="Consolas" w:hAnsi="Consolas"/>
                <w:sz w:val="15"/>
                <w:szCs w:val="15"/>
              </w:rPr>
              <w:t xml:space="preserve">============================== 13 passed in 1.79s ==============================</w:t>
            </w:r>
          </w:p>
        </w:tc>
      </w:tr>
    </w:tbl>
    <w:p>
      <w:pPr>
        <w:keepNext w:val="false"/>
        <w:spacing w:after="140" w:before="40"/>
        <w:jc w:val="center"/>
      </w:pPr>
      <w:r>
        <w:rPr>
          <w:rFonts w:ascii="Times New Roman" w:cs="Times New Roman" w:eastAsia="Times New Roman" w:hAnsi="Times New Roman"/>
          <w:b/>
          <w:bCs/>
          <w:sz w:val="20"/>
          <w:szCs w:val="20"/>
        </w:rPr>
        <w:t xml:space="preserve">Figure A4.12 — </w:t>
      </w:r>
      <w:r>
        <w:rPr>
          <w:rFonts w:ascii="Times New Roman" w:cs="Times New Roman" w:eastAsia="Times New Roman" w:hAnsi="Times New Roman"/>
          <w:i/>
          <w:iCs/>
          <w:sz w:val="20"/>
          <w:szCs w:val="20"/>
        </w:rPr>
        <w:t xml:space="preserve">Automated test suite (actual pytest output). The look-ahead test perturbs all post-origin sales and asserts the features at the origin are unchanged.</w:t>
      </w:r>
    </w:p>
    <w:p>
      <w:pPr>
        <w:pStyle w:val="Heading2"/>
        <w:keepNext/>
        <w:spacing w:after="80" w:before="200"/>
      </w:pPr>
      <w:r>
        <w:rPr>
          <w:rFonts w:ascii="Times New Roman" w:cs="Times New Roman" w:eastAsia="Times New Roman" w:hAnsi="Times New Roman"/>
        </w:rPr>
        <w:t xml:space="preserve">3.10 Governance</w:t>
      </w:r>
    </w:p>
    <w:p>
      <w:pPr>
        <w:spacing w:after="100" w:before="0" w:line="252"/>
        <w:jc w:val="both"/>
      </w:pPr>
      <w:r>
        <w:rPr>
          <w:rFonts w:ascii="Times New Roman" w:cs="Times New Roman" w:eastAsia="Times New Roman" w:hAnsi="Times New Roman"/>
          <w:sz w:val="23"/>
          <w:szCs w:val="23"/>
        </w:rPr>
        <w:t xml:space="preserve">Governance in A2 was mostly process: Jira epics, pull requests, a CHANGELOG. In A4 we pushed it into the artefacts themselves, so that the system enforces the rules rather than relying on people to remember them.</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Model registry.</w:t>
      </w:r>
      <w:r>
        <w:rPr>
          <w:rFonts w:ascii="Times New Roman" w:cs="Times New Roman" w:eastAsia="Times New Roman" w:hAnsi="Times New Roman"/>
          <w:sz w:val="23"/>
          <w:szCs w:val="23"/>
        </w:rPr>
        <w:t xml:space="preserve"> Every trained model is a row in </w:t>
      </w:r>
      <w:r>
        <w:rPr>
          <w:rFonts w:ascii="Consolas" w:cs="Consolas" w:eastAsia="Consolas" w:hAnsi="Consolas"/>
          <w:color w:val="333333"/>
          <w:sz w:val="20"/>
          <w:szCs w:val="20"/>
        </w:rPr>
        <w:t xml:space="preserve">model_registry</w:t>
      </w:r>
      <w:r>
        <w:rPr>
          <w:rFonts w:ascii="Times New Roman" w:cs="Times New Roman" w:eastAsia="Times New Roman" w:hAnsi="Times New Roman"/>
          <w:sz w:val="23"/>
          <w:szCs w:val="23"/>
        </w:rPr>
        <w:t xml:space="preserve"> with its version, horizon, the date it was trained through, its hyper-parameters, its back-test metrics and the SHA-256 hash of the saved file. Whatever produced a published forecast can be identified exactly.</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Selection discipline.</w:t>
      </w:r>
      <w:r>
        <w:rPr>
          <w:rFonts w:ascii="Times New Roman" w:cs="Times New Roman" w:eastAsia="Times New Roman" w:hAnsi="Times New Roman"/>
          <w:sz w:val="23"/>
          <w:szCs w:val="23"/>
        </w:rPr>
        <w:t xml:space="preserve"> Hyper-parameters were chosen on a validation window that closes before the test window opens (§3.5.2), and the test window was evaluated once. The champion (LightGBM) was fixed from the validation results, and the rule is recorded in </w:t>
      </w:r>
      <w:r>
        <w:rPr>
          <w:rFonts w:ascii="Consolas" w:cs="Consolas" w:eastAsia="Consolas" w:hAnsi="Consolas"/>
          <w:color w:val="333333"/>
          <w:sz w:val="20"/>
          <w:szCs w:val="20"/>
        </w:rPr>
        <w:t xml:space="preserve">docs/MODEL_CARD.md</w:t>
      </w:r>
      <w:r>
        <w:rPr>
          <w:rFonts w:ascii="Times New Roman" w:cs="Times New Roman" w:eastAsia="Times New Roman" w:hAnsi="Times New Roman"/>
          <w:sz w:val="23"/>
          <w:szCs w:val="23"/>
        </w:rPr>
        <w:t xml:space="preserve">, so the test leaderboard could not quietly steer model choice.</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Change control.</w:t>
      </w:r>
      <w:r>
        <w:rPr>
          <w:rFonts w:ascii="Times New Roman" w:cs="Times New Roman" w:eastAsia="Times New Roman" w:hAnsi="Times New Roman"/>
          <w:sz w:val="23"/>
          <w:szCs w:val="23"/>
        </w:rPr>
        <w:t xml:space="preserve"> </w:t>
      </w:r>
      <w:r>
        <w:rPr>
          <w:rFonts w:ascii="Consolas" w:cs="Consolas" w:eastAsia="Consolas" w:hAnsi="Consolas"/>
          <w:color w:val="333333"/>
          <w:sz w:val="20"/>
          <w:szCs w:val="20"/>
        </w:rPr>
        <w:t xml:space="preserve">docs/CHANGELOG.md</w:t>
      </w:r>
      <w:r>
        <w:rPr>
          <w:rFonts w:ascii="Times New Roman" w:cs="Times New Roman" w:eastAsia="Times New Roman" w:hAnsi="Times New Roman"/>
          <w:sz w:val="23"/>
          <w:szCs w:val="23"/>
        </w:rPr>
        <w:t xml:space="preserve"> records every data-rule, schema, feature and model change with its effect on reported numbers, including all six audit findings. We recommend branch protection on </w:t>
      </w:r>
      <w:r>
        <w:rPr>
          <w:rFonts w:ascii="Consolas" w:cs="Consolas" w:eastAsia="Consolas" w:hAnsi="Consolas"/>
          <w:color w:val="333333"/>
          <w:sz w:val="20"/>
          <w:szCs w:val="20"/>
        </w:rPr>
        <w:t xml:space="preserve">main</w:t>
      </w:r>
      <w:r>
        <w:rPr>
          <w:rFonts w:ascii="Times New Roman" w:cs="Times New Roman" w:eastAsia="Times New Roman" w:hAnsi="Times New Roman"/>
          <w:sz w:val="23"/>
          <w:szCs w:val="23"/>
        </w:rPr>
        <w:t xml:space="preserve"> (one required review, CI must pass) as a repository setting; the steps are in </w:t>
      </w:r>
      <w:r>
        <w:rPr>
          <w:rFonts w:ascii="Consolas" w:cs="Consolas" w:eastAsia="Consolas" w:hAnsi="Consolas"/>
          <w:color w:val="333333"/>
          <w:sz w:val="20"/>
          <w:szCs w:val="20"/>
        </w:rPr>
        <w:t xml:space="preserve">docs/DEPLOYMENT.md</w:t>
      </w:r>
      <w:r>
        <w:rPr>
          <w:rFonts w:ascii="Times New Roman" w:cs="Times New Roman" w:eastAsia="Times New Roman" w:hAnsi="Times New Roman"/>
          <w:sz w:val="23"/>
          <w:szCs w:val="23"/>
        </w:rPr>
        <w:t xml:space="preserve">.</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Documentation as deliverable.</w:t>
      </w:r>
      <w:r>
        <w:rPr>
          <w:rFonts w:ascii="Times New Roman" w:cs="Times New Roman" w:eastAsia="Times New Roman" w:hAnsi="Times New Roman"/>
          <w:sz w:val="23"/>
          <w:szCs w:val="23"/>
        </w:rPr>
        <w:t xml:space="preserve"> A model card (intended use, out-of-scope uses, metrics by segment, caveats; after Mitchell et al., 2019), a data-sources log with access dates and licences, and a security and privacy control matrix all ship in </w:t>
      </w:r>
      <w:r>
        <w:rPr>
          <w:rFonts w:ascii="Consolas" w:cs="Consolas" w:eastAsia="Consolas" w:hAnsi="Consolas"/>
          <w:color w:val="333333"/>
          <w:sz w:val="20"/>
          <w:szCs w:val="20"/>
        </w:rPr>
        <w:t xml:space="preserve">docs/</w:t>
      </w:r>
      <w:r>
        <w:rPr>
          <w:rFonts w:ascii="Times New Roman" w:cs="Times New Roman" w:eastAsia="Times New Roman" w:hAnsi="Times New Roman"/>
          <w:sz w:val="23"/>
          <w:szCs w:val="23"/>
        </w:rPr>
        <w:t xml:space="preserve">.</w:t>
      </w:r>
    </w:p>
    <w:p>
      <w:pPr>
        <w:spacing w:after="100" w:before="0" w:line="252"/>
        <w:jc w:val="both"/>
      </w:pPr>
      <w:r>
        <w:rPr>
          <w:rFonts w:ascii="Times New Roman" w:cs="Times New Roman" w:eastAsia="Times New Roman" w:hAnsi="Times New Roman"/>
          <w:b/>
          <w:bCs/>
          <w:sz w:val="23"/>
          <w:szCs w:val="23"/>
        </w:rPr>
        <w:t xml:space="preserve">Team process.</w:t>
      </w:r>
      <w:r>
        <w:rPr>
          <w:rFonts w:ascii="Times New Roman" w:cs="Times New Roman" w:eastAsia="Times New Roman" w:hAnsi="Times New Roman"/>
          <w:sz w:val="23"/>
          <w:szCs w:val="23"/>
        </w:rPr>
        <w:t xml:space="preserve"> Sprints 9 and 10 kept the A2 cadence: two-week sprints mirrored as Jira epics, a weekly stand-up on Teams, and a pull request per task with one reviewer. Table A4.15 shows final sprint status. The ten-sprint plan from A1 is complete except the optional second-state extension, which we deliberately descoped in Sprint 9 to protect the audit and evaluation work.</w:t>
      </w:r>
    </w:p>
    <w:p>
      <w:pPr>
        <w:keepNext/>
        <w:spacing w:after="140" w:before="40"/>
        <w:jc w:val="center"/>
      </w:pPr>
      <w:r>
        <w:rPr>
          <w:rFonts w:ascii="Times New Roman" w:cs="Times New Roman" w:eastAsia="Times New Roman" w:hAnsi="Times New Roman"/>
          <w:b/>
          <w:bCs/>
          <w:sz w:val="20"/>
          <w:szCs w:val="20"/>
        </w:rPr>
        <w:t xml:space="preserve">Table A4.15 — </w:t>
      </w:r>
      <w:r>
        <w:rPr>
          <w:rFonts w:ascii="Times New Roman" w:cs="Times New Roman" w:eastAsia="Times New Roman" w:hAnsi="Times New Roman"/>
          <w:i/>
          <w:iCs/>
          <w:sz w:val="20"/>
          <w:szCs w:val="20"/>
        </w:rPr>
        <w:t xml:space="preserve">Final sprint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738"/>
        <w:gridCol w:w="1800"/>
      </w:tblGrid>
      <w:tr>
        <w:trPr>
          <w:cantSplit/>
          <w:tblHeader/>
        </w:trPr>
        <w:tc>
          <w:tcPr>
            <w:tcW w:type="dxa" w:w="11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Sprint</w:t>
            </w:r>
          </w:p>
        </w:tc>
        <w:tc>
          <w:tcPr>
            <w:tcW w:type="dxa" w:w="6738"/>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Focus</w:t>
            </w:r>
          </w:p>
        </w:tc>
        <w:tc>
          <w:tcPr>
            <w:tcW w:type="dxa" w:w="1800"/>
            <w:tcBorders>
              <w:top w:val="single" w:color="A6ADB4" w:sz="4"/>
              <w:left w:val="single" w:color="A6ADB4" w:sz="4"/>
              <w:bottom w:val="single" w:color="A6ADB4" w:sz="4"/>
              <w:right w:val="single" w:color="A6ADB4" w:sz="4"/>
            </w:tcBorders>
            <w:shd w:fill="DCE6F2"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b/>
                <w:bCs/>
                <w:sz w:val="18"/>
                <w:szCs w:val="18"/>
              </w:rPr>
              <w:t xml:space="preserve">Status</w:t>
            </w:r>
          </w:p>
        </w:tc>
      </w:tr>
      <w:tr>
        <w:trPr>
          <w:cantSplit/>
          <w:tblHeader w:val="false"/>
        </w:trPr>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1–8</w:t>
            </w:r>
          </w:p>
        </w:tc>
        <w:tc>
          <w:tcPr>
            <w:tcW w:type="dxa" w:w="67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Business understanding → data → EDA → models → back-test (A1/A2)</w:t>
            </w:r>
          </w:p>
        </w:tc>
        <w:tc>
          <w:tcPr>
            <w:tcW w:type="dxa" w:w="18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Complete</w:t>
            </w:r>
          </w:p>
        </w:tc>
      </w:tr>
      <w:tr>
        <w:trPr>
          <w:cantSplit/>
          <w:tblHeader w:val="false"/>
        </w:trPr>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9</w:t>
            </w:r>
          </w:p>
        </w:tc>
        <w:tc>
          <w:tcPr>
            <w:tcW w:type="dxa" w:w="67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Audit of A2 artefacts; reproducible package; DB v2 and roles; feature store v2; tuning</w:t>
            </w:r>
          </w:p>
        </w:tc>
        <w:tc>
          <w:tcPr>
            <w:tcW w:type="dxa" w:w="18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Complete</w:t>
            </w:r>
          </w:p>
        </w:tc>
      </w:tr>
      <w:tr>
        <w:trPr>
          <w:cantSplit/>
          <w:tblHeader w:val="false"/>
        </w:trPr>
        <w:tc>
          <w:tcPr>
            <w:tcW w:type="dxa" w:w="11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10</w:t>
            </w:r>
          </w:p>
        </w:tc>
        <w:tc>
          <w:tcPr>
            <w:tcW w:type="dxa" w:w="6738"/>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Common-window back-test; uncertainty calibration; app v4; CI/CD; final report</w:t>
            </w:r>
          </w:p>
        </w:tc>
        <w:tc>
          <w:tcPr>
            <w:tcW w:type="dxa" w:w="1800"/>
            <w:tcBorders>
              <w:top w:val="single" w:color="A6ADB4" w:sz="4"/>
              <w:left w:val="single" w:color="A6ADB4" w:sz="4"/>
              <w:bottom w:val="single" w:color="A6ADB4" w:sz="4"/>
              <w:right w:val="single" w:color="A6ADB4" w:sz="4"/>
            </w:tcBorders>
            <w:shd w:fill="FFFFFF"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Complete</w:t>
            </w:r>
          </w:p>
        </w:tc>
      </w:tr>
      <w:tr>
        <w:trPr>
          <w:cantSplit/>
          <w:tblHeader w:val="false"/>
        </w:trPr>
        <w:tc>
          <w:tcPr>
            <w:tcW w:type="dxa" w:w="11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Stretch</w:t>
            </w:r>
          </w:p>
        </w:tc>
        <w:tc>
          <w:tcPr>
            <w:tcW w:type="dxa" w:w="6738"/>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Second state (VIC) for generalisability</w:t>
            </w:r>
          </w:p>
        </w:tc>
        <w:tc>
          <w:tcPr>
            <w:tcW w:type="dxa" w:w="1800"/>
            <w:tcBorders>
              <w:top w:val="single" w:color="A6ADB4" w:sz="4"/>
              <w:left w:val="single" w:color="A6ADB4" w:sz="4"/>
              <w:bottom w:val="single" w:color="A6ADB4" w:sz="4"/>
              <w:right w:val="single" w:color="A6ADB4" w:sz="4"/>
            </w:tcBorders>
            <w:shd w:fill="F6F8FA" w:color="auto" w:val="clear"/>
            <w:tcMar>
              <w:top w:type="dxa" w:w="40"/>
              <w:left w:type="dxa" w:w="80"/>
              <w:bottom w:type="dxa" w:w="40"/>
              <w:right w:type="dxa" w:w="80"/>
            </w:tcMar>
          </w:tcPr>
          <w:p>
            <w:pPr>
              <w:spacing w:after="0" w:line="228"/>
              <w:jc w:val="left"/>
            </w:pPr>
            <w:r>
              <w:rPr>
                <w:rFonts w:ascii="Times New Roman" w:cs="Times New Roman" w:eastAsia="Times New Roman" w:hAnsi="Times New Roman"/>
                <w:sz w:val="18"/>
                <w:szCs w:val="18"/>
              </w:rPr>
              <w:t xml:space="preserve">Descoped (see §3.13)</w:t>
            </w:r>
          </w:p>
        </w:tc>
      </w:tr>
    </w:tbl>
    <w:p>
      <w:pPr>
        <w:spacing w:after="80"/>
      </w:pPr>
    </w:p>
    <w:p>
      <w:pPr>
        <w:pStyle w:val="Heading2"/>
        <w:keepNext/>
        <w:spacing w:after="80" w:before="200"/>
      </w:pPr>
      <w:r>
        <w:rPr>
          <w:rFonts w:ascii="Times New Roman" w:cs="Times New Roman" w:eastAsia="Times New Roman" w:hAnsi="Times New Roman"/>
        </w:rPr>
        <w:t xml:space="preserve">3.11 Ethics, Privacy and Security</w:t>
      </w:r>
    </w:p>
    <w:p>
      <w:pPr>
        <w:spacing w:after="100" w:before="0" w:line="252"/>
        <w:jc w:val="both"/>
      </w:pPr>
      <w:r>
        <w:rPr>
          <w:rFonts w:ascii="Times New Roman" w:cs="Times New Roman" w:eastAsia="Times New Roman" w:hAnsi="Times New Roman"/>
          <w:sz w:val="23"/>
          <w:szCs w:val="23"/>
        </w:rPr>
        <w:t xml:space="preserve">The data is public under CC BY 4.0, but "public" is not the same as "harmless". Valuer General records include street addresses and exact prices. Combined with a suburb and a quarter, a thin market can make an "aggregate" effectively disclose one household's sale. Our controls are layered, so that no single mistake exposes anything:</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Minimum cell size.</w:t>
      </w:r>
      <w:r>
        <w:rPr>
          <w:rFonts w:ascii="Times New Roman" w:cs="Times New Roman" w:eastAsia="Times New Roman" w:hAnsi="Times New Roman"/>
          <w:sz w:val="23"/>
          <w:szCs w:val="23"/>
        </w:rPr>
        <w:t xml:space="preserve"> No statistic built from fewer than five sales is ever published. This is enforced in the database view, in the app-data export and by a test. It suppresses 55,883 suburb-quarters.</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Least privilege.</w:t>
      </w:r>
      <w:r>
        <w:rPr>
          <w:rFonts w:ascii="Times New Roman" w:cs="Times New Roman" w:eastAsia="Times New Roman" w:hAnsi="Times New Roman"/>
          <w:sz w:val="23"/>
          <w:szCs w:val="23"/>
        </w:rPr>
        <w:t xml:space="preserve"> Only the ETL role can read addresses; the app role can read forecasts and the privacy view only (Figure A4.3). The app image contains no credentials and no sale-level data.</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No false precision.</w:t>
      </w:r>
      <w:r>
        <w:rPr>
          <w:rFonts w:ascii="Times New Roman" w:cs="Times New Roman" w:eastAsia="Times New Roman" w:hAnsi="Times New Roman"/>
          <w:sz w:val="23"/>
          <w:szCs w:val="23"/>
        </w:rPr>
        <w:t xml:space="preserve"> Every forecast carries a calibrated band and a reliability label, low-liquidity suburbs are labelled </w:t>
      </w:r>
      <w:r>
        <w:rPr>
          <w:rFonts w:ascii="Times New Roman" w:cs="Times New Roman" w:eastAsia="Times New Roman" w:hAnsi="Times New Roman"/>
          <w:i/>
          <w:iCs/>
          <w:sz w:val="23"/>
          <w:szCs w:val="23"/>
        </w:rPr>
        <w:t xml:space="preserve">low</w:t>
      </w:r>
      <w:r>
        <w:rPr>
          <w:rFonts w:ascii="Times New Roman" w:cs="Times New Roman" w:eastAsia="Times New Roman" w:hAnsi="Times New Roman"/>
          <w:sz w:val="23"/>
          <w:szCs w:val="23"/>
        </w:rPr>
        <w:t xml:space="preserve"> rather than hidden, and the app states plainly that it is not a valuation or financial advice.</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Fairness across places.</w:t>
      </w:r>
      <w:r>
        <w:rPr>
          <w:rFonts w:ascii="Times New Roman" w:cs="Times New Roman" w:eastAsia="Times New Roman" w:hAnsi="Times New Roman"/>
          <w:sz w:val="23"/>
          <w:szCs w:val="23"/>
        </w:rPr>
        <w:t xml:space="preserve"> We checked whether the model serves regional NSW worse than Sydney. Overall it does not: one-quarter-ahead MAE is 10.6 pp for regional suburbs and 10.9 pp for Sydney, and band coverage is 79.3% and 81.5%. Among liquid suburbs, regional forecasts are actually </w:t>
      </w:r>
      <w:r>
        <w:rPr>
          <w:rFonts w:ascii="Times New Roman" w:cs="Times New Roman" w:eastAsia="Times New Roman" w:hAnsi="Times New Roman"/>
          <w:i/>
          <w:iCs/>
          <w:sz w:val="23"/>
          <w:szCs w:val="23"/>
        </w:rPr>
        <w:t xml:space="preserve">more</w:t>
      </w:r>
      <w:r>
        <w:rPr>
          <w:rFonts w:ascii="Times New Roman" w:cs="Times New Roman" w:eastAsia="Times New Roman" w:hAnsi="Times New Roman"/>
          <w:sz w:val="23"/>
          <w:szCs w:val="23"/>
        </w:rPr>
        <w:t xml:space="preserve"> accurate (6.6 vs 9.5 pp), plausibly because Sydney medians mix houses and apartments far more. Both regions show a small negative bias (forecasts 1.5–1.7 pp below outcomes on average) because the test window was a period of strong growth. We publish these segment results in the model card rather than averaging them away.</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Secrets and supply chain.</w:t>
      </w:r>
      <w:r>
        <w:rPr>
          <w:rFonts w:ascii="Times New Roman" w:cs="Times New Roman" w:eastAsia="Times New Roman" w:hAnsi="Times New Roman"/>
          <w:sz w:val="23"/>
          <w:szCs w:val="23"/>
        </w:rPr>
        <w:t xml:space="preserve"> Credentials come from environment variables and GitHub Secrets, </w:t>
      </w:r>
      <w:r>
        <w:rPr>
          <w:rFonts w:ascii="Consolas" w:cs="Consolas" w:eastAsia="Consolas" w:hAnsi="Consolas"/>
          <w:color w:val="333333"/>
          <w:sz w:val="20"/>
          <w:szCs w:val="20"/>
        </w:rPr>
        <w:t xml:space="preserve">.env</w:t>
      </w:r>
      <w:r>
        <w:rPr>
          <w:rFonts w:ascii="Times New Roman" w:cs="Times New Roman" w:eastAsia="Times New Roman" w:hAnsi="Times New Roman"/>
          <w:sz w:val="23"/>
          <w:szCs w:val="23"/>
        </w:rPr>
        <w:t xml:space="preserve"> is git-ignored, and all dependencies are pinned to the versions used to produce this report.</w:t>
      </w:r>
    </w:p>
    <w:p>
      <w:pPr>
        <w:spacing w:after="100" w:before="0" w:line="252"/>
        <w:jc w:val="both"/>
      </w:pPr>
      <w:r>
        <w:rPr>
          <w:rFonts w:ascii="Times New Roman" w:cs="Times New Roman" w:eastAsia="Times New Roman" w:hAnsi="Times New Roman"/>
          <w:sz w:val="23"/>
          <w:szCs w:val="23"/>
        </w:rPr>
        <w:t xml:space="preserve">One ethical risk we cannot fully engineer away is </w:t>
      </w:r>
      <w:r>
        <w:rPr>
          <w:rFonts w:ascii="Times New Roman" w:cs="Times New Roman" w:eastAsia="Times New Roman" w:hAnsi="Times New Roman"/>
          <w:b/>
          <w:bCs/>
          <w:sz w:val="23"/>
          <w:szCs w:val="23"/>
        </w:rPr>
        <w:t xml:space="preserve">misuse as a buy/sell signal</w:t>
      </w:r>
      <w:r>
        <w:rPr>
          <w:rFonts w:ascii="Times New Roman" w:cs="Times New Roman" w:eastAsia="Times New Roman" w:hAnsi="Times New Roman"/>
          <w:sz w:val="23"/>
          <w:szCs w:val="23"/>
        </w:rPr>
        <w:t xml:space="preserve">. A forecast that suburb X will rise could, at scale, become self-fulfilling or be used in marketing. We mitigate this with framing (ranges first, central value second; "guide, not valuation"), and the model card lists investment advice and automated lending decisions as out of scope.</w:t>
      </w:r>
    </w:p>
    <w:p>
      <w:pPr>
        <w:pStyle w:val="Heading2"/>
        <w:keepNext/>
        <w:spacing w:after="80" w:before="200"/>
      </w:pPr>
      <w:r>
        <w:rPr>
          <w:rFonts w:ascii="Times New Roman" w:cs="Times New Roman" w:eastAsia="Times New Roman" w:hAnsi="Times New Roman"/>
        </w:rPr>
        <w:t xml:space="preserve">3.12 Limitations</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The noise floor is real.</w:t>
      </w:r>
      <w:r>
        <w:rPr>
          <w:rFonts w:ascii="Times New Roman" w:cs="Times New Roman" w:eastAsia="Times New Roman" w:hAnsi="Times New Roman"/>
          <w:sz w:val="23"/>
          <w:szCs w:val="23"/>
        </w:rPr>
        <w:t xml:space="preserve"> A suburb median from 20 sales has substantial sampling error, so a large part of each QoQ move is unforecastable composition noise (§3.7). Our forecasts are best read as </w:t>
      </w:r>
      <w:r>
        <w:rPr>
          <w:rFonts w:ascii="Times New Roman" w:cs="Times New Roman" w:eastAsia="Times New Roman" w:hAnsi="Times New Roman"/>
          <w:i/>
          <w:iCs/>
          <w:sz w:val="23"/>
          <w:szCs w:val="23"/>
        </w:rPr>
        <w:t xml:space="preserve">direction and range</w:t>
      </w:r>
      <w:r>
        <w:rPr>
          <w:rFonts w:ascii="Times New Roman" w:cs="Times New Roman" w:eastAsia="Times New Roman" w:hAnsi="Times New Roman"/>
          <w:sz w:val="23"/>
          <w:szCs w:val="23"/>
        </w:rPr>
        <w:t xml:space="preserve">, not a point estimate.</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One state.</w:t>
      </w:r>
      <w:r>
        <w:rPr>
          <w:rFonts w:ascii="Times New Roman" w:cs="Times New Roman" w:eastAsia="Times New Roman" w:hAnsi="Times New Roman"/>
          <w:sz w:val="23"/>
          <w:szCs w:val="23"/>
        </w:rPr>
        <w:t xml:space="preserve"> NSW only. The pipeline is config-driven, but other states publish in different formats and under different terms, so generalisability is untested.</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Region proxy.</w:t>
      </w:r>
      <w:r>
        <w:rPr>
          <w:rFonts w:ascii="Times New Roman" w:cs="Times New Roman" w:eastAsia="Times New Roman" w:hAnsi="Times New Roman"/>
          <w:sz w:val="23"/>
          <w:szCs w:val="23"/>
        </w:rPr>
        <w:t xml:space="preserve"> Sydney vs rest-of-NSW is still assigned by postcode range, not the ABS GCCSA correspondence, and suburbs are matched by name, so boundary changes over 2014–2026 are not tracked.</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No macro drivers.</w:t>
      </w:r>
      <w:r>
        <w:rPr>
          <w:rFonts w:ascii="Times New Roman" w:cs="Times New Roman" w:eastAsia="Times New Roman" w:hAnsi="Times New Roman"/>
          <w:sz w:val="23"/>
          <w:szCs w:val="23"/>
        </w:rPr>
        <w:t xml:space="preserve"> Interest rates, credit growth and population flows are absent: sourcing, aligning and lagging these series correctly was out of scope for the project window. The model will therefore react to a rate shock only after it shows up in sales.</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Test window.</w:t>
      </w:r>
      <w:r>
        <w:rPr>
          <w:rFonts w:ascii="Times New Roman" w:cs="Times New Roman" w:eastAsia="Times New Roman" w:hAnsi="Times New Roman"/>
          <w:sz w:val="23"/>
          <w:szCs w:val="23"/>
        </w:rPr>
        <w:t xml:space="preserve"> Eight quarters (2024-Q3 to 2026-Q2) is a reasonable but single regime. The model has not been tested through a sharp downturn.</w:t>
      </w:r>
    </w:p>
    <w:p>
      <w:pPr>
        <w:pStyle w:val="Heading2"/>
        <w:keepNext/>
        <w:spacing w:after="80" w:before="200"/>
      </w:pPr>
      <w:r>
        <w:rPr>
          <w:rFonts w:ascii="Times New Roman" w:cs="Times New Roman" w:eastAsia="Times New Roman" w:hAnsi="Times New Roman"/>
        </w:rPr>
        <w:t xml:space="preserve">3.13 Future Improvements</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Repeat-sales or hedonic index per suburb.</w:t>
      </w:r>
      <w:r>
        <w:rPr>
          <w:rFonts w:ascii="Times New Roman" w:cs="Times New Roman" w:eastAsia="Times New Roman" w:hAnsi="Times New Roman"/>
          <w:sz w:val="23"/>
          <w:szCs w:val="23"/>
        </w:rPr>
        <w:t xml:space="preserve"> Tracking the same properties over time (property_id is in the data) would strip out composition noise and could cut the noise floor substantially. This is the single most promising next step.</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Hierarchical forecasting.</w:t>
      </w:r>
      <w:r>
        <w:rPr>
          <w:rFonts w:ascii="Times New Roman" w:cs="Times New Roman" w:eastAsia="Times New Roman" w:hAnsi="Times New Roman"/>
          <w:sz w:val="23"/>
          <w:szCs w:val="23"/>
        </w:rPr>
        <w:t xml:space="preserve"> Reconciling suburb, region and state forecasts (e.g. MinT; Hyndman &amp; Athanasopoulos, 2021) so they add up coherently and borrow strength across levels.</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Macro features and scenario mode.</w:t>
      </w:r>
      <w:r>
        <w:rPr>
          <w:rFonts w:ascii="Times New Roman" w:cs="Times New Roman" w:eastAsia="Times New Roman" w:hAnsi="Times New Roman"/>
          <w:sz w:val="23"/>
          <w:szCs w:val="23"/>
        </w:rPr>
        <w:t xml:space="preserve"> Add the RBA cash rate and ABS lending indicators, and let users ask "what if rates rise 50 bp?" with the band widening accordingly.</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Drift monitoring.</w:t>
      </w:r>
      <w:r>
        <w:rPr>
          <w:rFonts w:ascii="Times New Roman" w:cs="Times New Roman" w:eastAsia="Times New Roman" w:hAnsi="Times New Roman"/>
          <w:sz w:val="23"/>
          <w:szCs w:val="23"/>
        </w:rPr>
        <w:t xml:space="preserve"> Compare each new quarter's realised errors and band coverage with the back-test and alert when they leave the expected range.</w:t>
      </w:r>
    </w:p>
    <w:p>
      <w:pPr>
        <w:pStyle w:val="ListParagraph"/>
        <w:numPr>
          <w:ilvl w:val="0"/>
          <w:numId w:val="2"/>
        </w:numPr>
        <w:spacing w:after="50" w:line="252"/>
        <w:jc w:val="left"/>
      </w:pPr>
      <w:r>
        <w:rPr>
          <w:rFonts w:ascii="Times New Roman" w:cs="Times New Roman" w:eastAsia="Times New Roman" w:hAnsi="Times New Roman"/>
          <w:b/>
          <w:bCs/>
          <w:sz w:val="23"/>
          <w:szCs w:val="23"/>
        </w:rPr>
        <w:t xml:space="preserve">Second state and SA2 geography.</w:t>
      </w:r>
      <w:r>
        <w:rPr>
          <w:rFonts w:ascii="Times New Roman" w:cs="Times New Roman" w:eastAsia="Times New Roman" w:hAnsi="Times New Roman"/>
          <w:sz w:val="23"/>
          <w:szCs w:val="23"/>
        </w:rPr>
        <w:t xml:space="preserve"> Victoria's Valuer-General data, and the ABS postcode-to-SA2 correspondence to replace the postcode-range region proxy.</w:t>
      </w:r>
    </w:p>
    <w:p>
      <w:pPr>
        <w:pStyle w:val="Heading2"/>
        <w:keepNext/>
        <w:spacing w:after="80" w:before="200"/>
      </w:pPr>
      <w:r>
        <w:rPr>
          <w:rFonts w:ascii="Times New Roman" w:cs="Times New Roman" w:eastAsia="Times New Roman" w:hAnsi="Times New Roman"/>
        </w:rPr>
        <w:t xml:space="preserve">References (Assessment 4)</w:t>
      </w:r>
    </w:p>
    <w:p>
      <w:pPr>
        <w:spacing w:after="80"/>
        <w:ind w:left="567" w:hanging="567"/>
        <w:jc w:val="left"/>
      </w:pPr>
      <w:r>
        <w:rPr>
          <w:rFonts w:ascii="Times New Roman" w:cs="Times New Roman" w:eastAsia="Times New Roman" w:hAnsi="Times New Roman"/>
          <w:sz w:val="21"/>
          <w:szCs w:val="21"/>
        </w:rPr>
        <w:t xml:space="preserve">Australian Bureau of Statistics. (2026). </w:t>
      </w:r>
      <w:r>
        <w:rPr>
          <w:rFonts w:ascii="Times New Roman" w:cs="Times New Roman" w:eastAsia="Times New Roman" w:hAnsi="Times New Roman"/>
          <w:i/>
          <w:iCs/>
          <w:sz w:val="21"/>
          <w:szCs w:val="21"/>
        </w:rPr>
        <w:t xml:space="preserve">Total value of dwellings, Australia</w:t>
      </w:r>
      <w:r>
        <w:rPr>
          <w:rFonts w:ascii="Times New Roman" w:cs="Times New Roman" w:eastAsia="Times New Roman" w:hAnsi="Times New Roman"/>
          <w:sz w:val="21"/>
          <w:szCs w:val="21"/>
        </w:rPr>
        <w:t xml:space="preserve"> (Cat. No. 6432.0). https://www.abs.gov.au/statistics/economy/price-indexes-and-inflation/total-value-dwellings/latest-release</w:t>
      </w:r>
    </w:p>
    <w:p>
      <w:pPr>
        <w:spacing w:after="80"/>
        <w:ind w:left="567" w:hanging="567"/>
        <w:jc w:val="left"/>
      </w:pPr>
      <w:r>
        <w:rPr>
          <w:rFonts w:ascii="Times New Roman" w:cs="Times New Roman" w:eastAsia="Times New Roman" w:hAnsi="Times New Roman"/>
          <w:sz w:val="21"/>
          <w:szCs w:val="21"/>
        </w:rPr>
        <w:t xml:space="preserve">Breiman, L. (2001). Random forests. </w:t>
      </w:r>
      <w:r>
        <w:rPr>
          <w:rFonts w:ascii="Times New Roman" w:cs="Times New Roman" w:eastAsia="Times New Roman" w:hAnsi="Times New Roman"/>
          <w:i/>
          <w:iCs/>
          <w:sz w:val="21"/>
          <w:szCs w:val="21"/>
        </w:rPr>
        <w:t xml:space="preserve">Machine Learning, 45</w:t>
      </w:r>
      <w:r>
        <w:rPr>
          <w:rFonts w:ascii="Times New Roman" w:cs="Times New Roman" w:eastAsia="Times New Roman" w:hAnsi="Times New Roman"/>
          <w:sz w:val="21"/>
          <w:szCs w:val="21"/>
        </w:rPr>
        <w:t xml:space="preserve">(1), 5–32. https://doi.org/10.1023/A:1010933404324</w:t>
      </w:r>
    </w:p>
    <w:p>
      <w:pPr>
        <w:spacing w:after="80"/>
        <w:ind w:left="567" w:hanging="567"/>
        <w:jc w:val="left"/>
      </w:pPr>
      <w:r>
        <w:rPr>
          <w:rFonts w:ascii="Times New Roman" w:cs="Times New Roman" w:eastAsia="Times New Roman" w:hAnsi="Times New Roman"/>
          <w:sz w:val="21"/>
          <w:szCs w:val="21"/>
        </w:rPr>
        <w:t xml:space="preserve">Chen, T., &amp; Guestrin, C. (2016). XGBoost: A scalable tree boosting system. In </w:t>
      </w:r>
      <w:r>
        <w:rPr>
          <w:rFonts w:ascii="Times New Roman" w:cs="Times New Roman" w:eastAsia="Times New Roman" w:hAnsi="Times New Roman"/>
          <w:i/>
          <w:iCs/>
          <w:sz w:val="21"/>
          <w:szCs w:val="21"/>
        </w:rPr>
        <w:t xml:space="preserve">Proceedings of the 22nd ACM SIGKDD International Conference on Knowledge Discovery and Data Mining</w:t>
      </w:r>
      <w:r>
        <w:rPr>
          <w:rFonts w:ascii="Times New Roman" w:cs="Times New Roman" w:eastAsia="Times New Roman" w:hAnsi="Times New Roman"/>
          <w:sz w:val="21"/>
          <w:szCs w:val="21"/>
        </w:rPr>
        <w:t xml:space="preserve"> (pp. 785–794). https://doi.org/10.1145/2939672.2939785</w:t>
      </w:r>
    </w:p>
    <w:p>
      <w:pPr>
        <w:spacing w:after="80"/>
        <w:ind w:left="567" w:hanging="567"/>
        <w:jc w:val="left"/>
      </w:pPr>
      <w:r>
        <w:rPr>
          <w:rFonts w:ascii="Times New Roman" w:cs="Times New Roman" w:eastAsia="Times New Roman" w:hAnsi="Times New Roman"/>
          <w:sz w:val="21"/>
          <w:szCs w:val="21"/>
        </w:rPr>
        <w:t xml:space="preserve">Diebold, F. X., &amp; Mariano, R. S. (1995). Comparing predictive accuracy. </w:t>
      </w:r>
      <w:r>
        <w:rPr>
          <w:rFonts w:ascii="Times New Roman" w:cs="Times New Roman" w:eastAsia="Times New Roman" w:hAnsi="Times New Roman"/>
          <w:i/>
          <w:iCs/>
          <w:sz w:val="21"/>
          <w:szCs w:val="21"/>
        </w:rPr>
        <w:t xml:space="preserve">Journal of Business &amp; Economic Statistics, 13</w:t>
      </w:r>
      <w:r>
        <w:rPr>
          <w:rFonts w:ascii="Times New Roman" w:cs="Times New Roman" w:eastAsia="Times New Roman" w:hAnsi="Times New Roman"/>
          <w:sz w:val="21"/>
          <w:szCs w:val="21"/>
        </w:rPr>
        <w:t xml:space="preserve">(3), 253–263. https://doi.org/10.1080/07350015.1995.10524599</w:t>
      </w:r>
    </w:p>
    <w:p>
      <w:pPr>
        <w:spacing w:after="80"/>
        <w:ind w:left="567" w:hanging="567"/>
        <w:jc w:val="left"/>
      </w:pPr>
      <w:r>
        <w:rPr>
          <w:rFonts w:ascii="Times New Roman" w:cs="Times New Roman" w:eastAsia="Times New Roman" w:hAnsi="Times New Roman"/>
          <w:sz w:val="21"/>
          <w:szCs w:val="21"/>
        </w:rPr>
        <w:t xml:space="preserve">Harvey, D., Leybourne, S., &amp; Newbold, P. (1997). Testing the equality of prediction mean squared errors. </w:t>
      </w:r>
      <w:r>
        <w:rPr>
          <w:rFonts w:ascii="Times New Roman" w:cs="Times New Roman" w:eastAsia="Times New Roman" w:hAnsi="Times New Roman"/>
          <w:i/>
          <w:iCs/>
          <w:sz w:val="21"/>
          <w:szCs w:val="21"/>
        </w:rPr>
        <w:t xml:space="preserve">International Journal of Forecasting, 13</w:t>
      </w:r>
      <w:r>
        <w:rPr>
          <w:rFonts w:ascii="Times New Roman" w:cs="Times New Roman" w:eastAsia="Times New Roman" w:hAnsi="Times New Roman"/>
          <w:sz w:val="21"/>
          <w:szCs w:val="21"/>
        </w:rPr>
        <w:t xml:space="preserve">(2), 281–291. https://doi.org/10.1016/S0169-2070(96)00719-4</w:t>
      </w:r>
    </w:p>
    <w:p>
      <w:pPr>
        <w:spacing w:after="80"/>
        <w:ind w:left="567" w:hanging="567"/>
        <w:jc w:val="left"/>
      </w:pPr>
      <w:r>
        <w:rPr>
          <w:rFonts w:ascii="Times New Roman" w:cs="Times New Roman" w:eastAsia="Times New Roman" w:hAnsi="Times New Roman"/>
          <w:sz w:val="21"/>
          <w:szCs w:val="21"/>
        </w:rPr>
        <w:t xml:space="preserve">Huber, P. J. (1964). Robust estimation of a location parameter. </w:t>
      </w:r>
      <w:r>
        <w:rPr>
          <w:rFonts w:ascii="Times New Roman" w:cs="Times New Roman" w:eastAsia="Times New Roman" w:hAnsi="Times New Roman"/>
          <w:i/>
          <w:iCs/>
          <w:sz w:val="21"/>
          <w:szCs w:val="21"/>
        </w:rPr>
        <w:t xml:space="preserve">The Annals of Mathematical Statistics, 35</w:t>
      </w:r>
      <w:r>
        <w:rPr>
          <w:rFonts w:ascii="Times New Roman" w:cs="Times New Roman" w:eastAsia="Times New Roman" w:hAnsi="Times New Roman"/>
          <w:sz w:val="21"/>
          <w:szCs w:val="21"/>
        </w:rPr>
        <w:t xml:space="preserve">(1), 73–101. https://doi.org/10.1214/aoms/1177703732</w:t>
      </w:r>
    </w:p>
    <w:p>
      <w:pPr>
        <w:spacing w:after="80"/>
        <w:ind w:left="567" w:hanging="567"/>
        <w:jc w:val="left"/>
      </w:pPr>
      <w:r>
        <w:rPr>
          <w:rFonts w:ascii="Times New Roman" w:cs="Times New Roman" w:eastAsia="Times New Roman" w:hAnsi="Times New Roman"/>
          <w:sz w:val="21"/>
          <w:szCs w:val="21"/>
        </w:rPr>
        <w:t xml:space="preserve">Hyndman, R. J., &amp; Athanasopoulos, G. (2021). </w:t>
      </w:r>
      <w:r>
        <w:rPr>
          <w:rFonts w:ascii="Times New Roman" w:cs="Times New Roman" w:eastAsia="Times New Roman" w:hAnsi="Times New Roman"/>
          <w:i/>
          <w:iCs/>
          <w:sz w:val="21"/>
          <w:szCs w:val="21"/>
        </w:rPr>
        <w:t xml:space="preserve">Forecasting: Principles and practice</w:t>
      </w:r>
      <w:r>
        <w:rPr>
          <w:rFonts w:ascii="Times New Roman" w:cs="Times New Roman" w:eastAsia="Times New Roman" w:hAnsi="Times New Roman"/>
          <w:sz w:val="21"/>
          <w:szCs w:val="21"/>
        </w:rPr>
        <w:t xml:space="preserve"> (3rd ed.). OTexts. https://otexts.com/fpp3/</w:t>
      </w:r>
    </w:p>
    <w:p>
      <w:pPr>
        <w:spacing w:after="80"/>
        <w:ind w:left="567" w:hanging="567"/>
        <w:jc w:val="left"/>
      </w:pPr>
      <w:r>
        <w:rPr>
          <w:rFonts w:ascii="Times New Roman" w:cs="Times New Roman" w:eastAsia="Times New Roman" w:hAnsi="Times New Roman"/>
          <w:sz w:val="21"/>
          <w:szCs w:val="21"/>
        </w:rPr>
        <w:t xml:space="preserve">Ke, G., Meng, Q., Finley, T., Wang, T., Chen, W., Ma, W., Ye, Q., &amp; Liu, T.-Y. (2017). LightGBM: A highly efficient gradient boosting decision tree. </w:t>
      </w:r>
      <w:r>
        <w:rPr>
          <w:rFonts w:ascii="Times New Roman" w:cs="Times New Roman" w:eastAsia="Times New Roman" w:hAnsi="Times New Roman"/>
          <w:i/>
          <w:iCs/>
          <w:sz w:val="21"/>
          <w:szCs w:val="21"/>
        </w:rPr>
        <w:t xml:space="preserve">Advances in Neural Information Processing Systems, 30</w:t>
      </w:r>
      <w:r>
        <w:rPr>
          <w:rFonts w:ascii="Times New Roman" w:cs="Times New Roman" w:eastAsia="Times New Roman" w:hAnsi="Times New Roman"/>
          <w:sz w:val="21"/>
          <w:szCs w:val="21"/>
        </w:rPr>
        <w:t xml:space="preserve">, 3146–3154.</w:t>
      </w:r>
    </w:p>
    <w:p>
      <w:pPr>
        <w:spacing w:after="80"/>
        <w:ind w:left="567" w:hanging="567"/>
        <w:jc w:val="left"/>
      </w:pPr>
      <w:r>
        <w:rPr>
          <w:rFonts w:ascii="Times New Roman" w:cs="Times New Roman" w:eastAsia="Times New Roman" w:hAnsi="Times New Roman"/>
          <w:sz w:val="21"/>
          <w:szCs w:val="21"/>
        </w:rPr>
        <w:t xml:space="preserve">Lundberg, S. M., &amp; Lee, S.-I. (2017). A unified approach to interpreting model predictions. </w:t>
      </w:r>
      <w:r>
        <w:rPr>
          <w:rFonts w:ascii="Times New Roman" w:cs="Times New Roman" w:eastAsia="Times New Roman" w:hAnsi="Times New Roman"/>
          <w:i/>
          <w:iCs/>
          <w:sz w:val="21"/>
          <w:szCs w:val="21"/>
        </w:rPr>
        <w:t xml:space="preserve">Advances in Neural Information Processing Systems, 30</w:t>
      </w:r>
      <w:r>
        <w:rPr>
          <w:rFonts w:ascii="Times New Roman" w:cs="Times New Roman" w:eastAsia="Times New Roman" w:hAnsi="Times New Roman"/>
          <w:sz w:val="21"/>
          <w:szCs w:val="21"/>
        </w:rPr>
        <w:t xml:space="preserve">, 4765–4774.</w:t>
      </w:r>
    </w:p>
    <w:p>
      <w:pPr>
        <w:spacing w:after="80"/>
        <w:ind w:left="567" w:hanging="567"/>
        <w:jc w:val="left"/>
      </w:pPr>
      <w:r>
        <w:rPr>
          <w:rFonts w:ascii="Times New Roman" w:cs="Times New Roman" w:eastAsia="Times New Roman" w:hAnsi="Times New Roman"/>
          <w:sz w:val="21"/>
          <w:szCs w:val="21"/>
        </w:rPr>
        <w:t xml:space="preserve">Mitchell, M., Wu, S., Zaldivar, A., Barnes, P., Vasserman, L., Hutchinson, B., Spitzer, E., Raji, I. D., &amp; Gebru, T. (2019). Model cards for model reporting. In </w:t>
      </w:r>
      <w:r>
        <w:rPr>
          <w:rFonts w:ascii="Times New Roman" w:cs="Times New Roman" w:eastAsia="Times New Roman" w:hAnsi="Times New Roman"/>
          <w:i/>
          <w:iCs/>
          <w:sz w:val="21"/>
          <w:szCs w:val="21"/>
        </w:rPr>
        <w:t xml:space="preserve">Proceedings of the Conference on Fairness, Accountability, and Transparency</w:t>
      </w:r>
      <w:r>
        <w:rPr>
          <w:rFonts w:ascii="Times New Roman" w:cs="Times New Roman" w:eastAsia="Times New Roman" w:hAnsi="Times New Roman"/>
          <w:sz w:val="21"/>
          <w:szCs w:val="21"/>
        </w:rPr>
        <w:t xml:space="preserve"> (pp. 220–229). https://doi.org/10.1145/3287560.3287596</w:t>
      </w:r>
    </w:p>
    <w:p>
      <w:pPr>
        <w:spacing w:after="80"/>
        <w:ind w:left="567" w:hanging="567"/>
        <w:jc w:val="left"/>
      </w:pPr>
      <w:r>
        <w:rPr>
          <w:rFonts w:ascii="Times New Roman" w:cs="Times New Roman" w:eastAsia="Times New Roman" w:hAnsi="Times New Roman"/>
          <w:sz w:val="21"/>
          <w:szCs w:val="21"/>
        </w:rPr>
        <w:t xml:space="preserve">New South Wales Government. (2026). </w:t>
      </w:r>
      <w:r>
        <w:rPr>
          <w:rFonts w:ascii="Times New Roman" w:cs="Times New Roman" w:eastAsia="Times New Roman" w:hAnsi="Times New Roman"/>
          <w:i/>
          <w:iCs/>
          <w:sz w:val="21"/>
          <w:szCs w:val="21"/>
        </w:rPr>
        <w:t xml:space="preserve">Property sales information</w:t>
      </w:r>
      <w:r>
        <w:rPr>
          <w:rFonts w:ascii="Times New Roman" w:cs="Times New Roman" w:eastAsia="Times New Roman" w:hAnsi="Times New Roman"/>
          <w:sz w:val="21"/>
          <w:szCs w:val="21"/>
        </w:rPr>
        <w:t xml:space="preserve"> [Data set]. NSW Valuer General. https://valuation.property.nsw.gov.au/embed/propertySalesInformation</w:t>
      </w:r>
    </w:p>
    <w:p>
      <w:pPr>
        <w:spacing w:after="80"/>
        <w:ind w:left="567" w:hanging="567"/>
        <w:jc w:val="left"/>
      </w:pPr>
      <w:r>
        <w:rPr>
          <w:rFonts w:ascii="Times New Roman" w:cs="Times New Roman" w:eastAsia="Times New Roman" w:hAnsi="Times New Roman"/>
          <w:sz w:val="21"/>
          <w:szCs w:val="21"/>
        </w:rPr>
        <w:t xml:space="preserve">Pedregosa, F., Varoquaux, G., Gramfort, A., Michel, V., Thirion, B., Grisel, O., Blondel, M., Prettenhofer, P., Weiss, R., Dubourg, V., Vanderplas, J., Passos, A., Cournapeau, D., Brucher, M., Perrot, M., &amp; Duchesnay, E. (2011). Scikit-learn: Machine learning in Python. </w:t>
      </w:r>
      <w:r>
        <w:rPr>
          <w:rFonts w:ascii="Times New Roman" w:cs="Times New Roman" w:eastAsia="Times New Roman" w:hAnsi="Times New Roman"/>
          <w:i/>
          <w:iCs/>
          <w:sz w:val="21"/>
          <w:szCs w:val="21"/>
        </w:rPr>
        <w:t xml:space="preserve">Journal of Machine Learning Research, 12</w:t>
      </w:r>
      <w:r>
        <w:rPr>
          <w:rFonts w:ascii="Times New Roman" w:cs="Times New Roman" w:eastAsia="Times New Roman" w:hAnsi="Times New Roman"/>
          <w:sz w:val="21"/>
          <w:szCs w:val="21"/>
        </w:rPr>
        <w:t xml:space="preserve">, 2825–2830.</w:t>
      </w:r>
    </w:p>
    <w:p>
      <w:pPr>
        <w:spacing w:after="80"/>
        <w:ind w:left="567" w:hanging="567"/>
        <w:jc w:val="left"/>
      </w:pPr>
      <w:r>
        <w:rPr>
          <w:rFonts w:ascii="Times New Roman" w:cs="Times New Roman" w:eastAsia="Times New Roman" w:hAnsi="Times New Roman"/>
          <w:sz w:val="21"/>
          <w:szCs w:val="21"/>
        </w:rPr>
        <w:t xml:space="preserve">Romano, Y., Patterson, E., &amp; Candès, E. (2019). Conformalized quantile regression. </w:t>
      </w:r>
      <w:r>
        <w:rPr>
          <w:rFonts w:ascii="Times New Roman" w:cs="Times New Roman" w:eastAsia="Times New Roman" w:hAnsi="Times New Roman"/>
          <w:i/>
          <w:iCs/>
          <w:sz w:val="21"/>
          <w:szCs w:val="21"/>
        </w:rPr>
        <w:t xml:space="preserve">Advances in Neural Information Processing Systems, 32</w:t>
      </w:r>
      <w:r>
        <w:rPr>
          <w:rFonts w:ascii="Times New Roman" w:cs="Times New Roman" w:eastAsia="Times New Roman" w:hAnsi="Times New Roman"/>
          <w:sz w:val="21"/>
          <w:szCs w:val="21"/>
        </w:rPr>
        <w:t xml:space="preserve">, 3543–3553.</w:t>
      </w:r>
    </w:p>
    <w:p>
      <w:pPr>
        <w:spacing w:after="80"/>
        <w:ind w:left="567" w:hanging="567"/>
        <w:jc w:val="left"/>
      </w:pPr>
      <w:r>
        <w:rPr>
          <w:rFonts w:ascii="Times New Roman" w:cs="Times New Roman" w:eastAsia="Times New Roman" w:hAnsi="Times New Roman"/>
          <w:sz w:val="21"/>
          <w:szCs w:val="21"/>
        </w:rPr>
        <w:t xml:space="preserve">Seabold, S., &amp; Perktold, J. (2010). Statsmodels: Econometric and statistical modeling with Python. In </w:t>
      </w:r>
      <w:r>
        <w:rPr>
          <w:rFonts w:ascii="Times New Roman" w:cs="Times New Roman" w:eastAsia="Times New Roman" w:hAnsi="Times New Roman"/>
          <w:i/>
          <w:iCs/>
          <w:sz w:val="21"/>
          <w:szCs w:val="21"/>
        </w:rPr>
        <w:t xml:space="preserve">Proceedings of the 9th Python in Science Conference</w:t>
      </w:r>
      <w:r>
        <w:rPr>
          <w:rFonts w:ascii="Times New Roman" w:cs="Times New Roman" w:eastAsia="Times New Roman" w:hAnsi="Times New Roman"/>
          <w:sz w:val="21"/>
          <w:szCs w:val="21"/>
        </w:rPr>
        <w:t xml:space="preserve"> (pp. 92–96). https://doi.org/10.25080/Majora-92bf1922-011</w:t>
      </w:r>
    </w:p>
    <w:p>
      <w:pPr>
        <w:spacing w:after="80"/>
        <w:ind w:left="567" w:hanging="567"/>
        <w:jc w:val="left"/>
      </w:pPr>
      <w:r>
        <w:rPr>
          <w:rFonts w:ascii="Times New Roman" w:cs="Times New Roman" w:eastAsia="Times New Roman" w:hAnsi="Times New Roman"/>
          <w:sz w:val="21"/>
          <w:szCs w:val="21"/>
        </w:rPr>
        <w:t xml:space="preserve">Taylor, S. J., &amp; Letham, B. (2018). Forecasting at scale. </w:t>
      </w:r>
      <w:r>
        <w:rPr>
          <w:rFonts w:ascii="Times New Roman" w:cs="Times New Roman" w:eastAsia="Times New Roman" w:hAnsi="Times New Roman"/>
          <w:i/>
          <w:iCs/>
          <w:sz w:val="21"/>
          <w:szCs w:val="21"/>
        </w:rPr>
        <w:t xml:space="preserve">The American Statistician, 72</w:t>
      </w:r>
      <w:r>
        <w:rPr>
          <w:rFonts w:ascii="Times New Roman" w:cs="Times New Roman" w:eastAsia="Times New Roman" w:hAnsi="Times New Roman"/>
          <w:sz w:val="21"/>
          <w:szCs w:val="21"/>
        </w:rPr>
        <w:t xml:space="preserve">(1), 37–45. https://doi.org/10.1080/00031305.2017.1380080</w:t>
      </w:r>
    </w:p>
    <w:p>
      <w:pPr>
        <w:pStyle w:val="Heading1"/>
        <w:pageBreakBefore/>
        <w:spacing w:after="120" w:before="120"/>
      </w:pPr>
      <w:r>
        <w:rPr>
          <w:rFonts w:ascii="Times New Roman" w:cs="Times New Roman" w:eastAsia="Times New Roman" w:hAnsi="Times New Roman"/>
        </w:rPr>
        <w:t xml:space="preserve">Section 4 – Individual Work and Contribution Summary</w:t>
      </w:r>
    </w:p>
    <w:p>
      <w:pPr>
        <w:pStyle w:val="Heading2"/>
        <w:spacing w:after="80" w:before="0"/>
      </w:pPr>
      <w:r>
        <w:rPr>
          <w:rFonts w:ascii="Times New Roman" w:cs="Times New Roman" w:eastAsia="Times New Roman" w:hAnsi="Times New Roman"/>
        </w:rPr>
        <w:t xml:space="preserve">4.1 Ahsan Uddin</w:t>
      </w:r>
    </w:p>
    <w:p>
      <w:pPr>
        <w:spacing w:after="60" w:before="0" w:line="252"/>
        <w:jc w:val="both"/>
      </w:pPr>
      <w:r>
        <w:rPr>
          <w:rFonts w:ascii="Times New Roman" w:cs="Times New Roman" w:eastAsia="Times New Roman" w:hAnsi="Times New Roman"/>
          <w:b/>
          <w:bCs/>
          <w:sz w:val="23"/>
          <w:szCs w:val="23"/>
        </w:rPr>
        <w:t xml:space="preserve">Student ID:</w:t>
      </w:r>
      <w:r>
        <w:rPr>
          <w:rFonts w:ascii="Times New Roman" w:cs="Times New Roman" w:eastAsia="Times New Roman" w:hAnsi="Times New Roman"/>
          <w:sz w:val="23"/>
          <w:szCs w:val="23"/>
        </w:rPr>
        <w:t xml:space="preserve"> S386288</w:t>
      </w:r>
    </w:p>
    <w:p>
      <w:pPr>
        <w:pStyle w:val="Heading3"/>
        <w:keepNext/>
        <w:spacing w:after="60" w:before="140"/>
      </w:pPr>
      <w:r>
        <w:rPr>
          <w:rFonts w:ascii="Times New Roman" w:cs="Times New Roman" w:eastAsia="Times New Roman" w:hAnsi="Times New Roman"/>
        </w:rPr>
        <w:t xml:space="preserve">Individual Capstone Project Completion Evidence</w:t>
      </w:r>
    </w:p>
    <w:p>
      <w:pPr>
        <w:pBdr>
          <w:top w:val="dashed" w:color="999999" w:sz="6" w:space="6"/>
          <w:bottom w:val="dashed" w:color="999999" w:sz="6" w:space="6"/>
          <w:left w:val="dashed" w:color="999999" w:sz="6" w:space="6"/>
          <w:right w:val="dashed" w:color="999999" w:sz="6" w:space="6"/>
        </w:pBdr>
        <w:spacing w:after="60" w:before="60"/>
        <w:jc w:val="center"/>
      </w:pPr>
      <w:r>
        <w:rPr>
          <w:rFonts w:ascii="Times New Roman" w:cs="Times New Roman" w:eastAsia="Times New Roman" w:hAnsi="Times New Roman"/>
          <w:i/>
          <w:iCs/>
          <w:color w:val="888888"/>
          <w:sz w:val="20"/>
          <w:szCs w:val="20"/>
        </w:rPr>
        <w:t xml:space="preserve">[INSERT SCREENSHOT: Individual Capstone Project name, completion status, score, and completion date &amp; time]</w:t>
      </w:r>
    </w:p>
    <w:p>
      <w:pPr>
        <w:spacing w:after="3200"/>
      </w:pPr>
    </w:p>
    <w:p>
      <w:pPr>
        <w:pStyle w:val="Heading3"/>
        <w:keepNext/>
        <w:spacing w:after="60" w:before="140"/>
      </w:pPr>
      <w:r>
        <w:rPr>
          <w:rFonts w:ascii="Times New Roman" w:cs="Times New Roman" w:eastAsia="Times New Roman" w:hAnsi="Times New Roman"/>
        </w:rPr>
        <w:t xml:space="preserve">Individual Project Contribution (since Assessment 2)</w:t>
      </w:r>
    </w:p>
    <w:p>
      <w:pPr>
        <w:spacing w:after="100" w:before="0" w:line="252"/>
        <w:jc w:val="both"/>
      </w:pPr>
      <w:r>
        <w:rPr>
          <w:rFonts w:ascii="Times New Roman" w:cs="Times New Roman" w:eastAsia="Times New Roman" w:hAnsi="Times New Roman"/>
          <w:sz w:val="23"/>
          <w:szCs w:val="23"/>
        </w:rPr>
        <w:t xml:space="preserve">I continued as project lead and owned acquisition and automation. I adapted the acquisition script into the package, wrote the weekly scheduled-refresh workflow that runs the pipeline every Tuesday after the Valuer General's release, restructured the repository around </w:t>
      </w:r>
      <w:r>
        <w:rPr>
          <w:rFonts w:ascii="Consolas" w:cs="Consolas" w:eastAsia="Consolas" w:hAnsi="Consolas"/>
          <w:color w:val="333333"/>
          <w:sz w:val="20"/>
          <w:szCs w:val="20"/>
        </w:rPr>
        <w:t xml:space="preserve">src/</w:t>
      </w:r>
      <w:r>
        <w:rPr>
          <w:rFonts w:ascii="Times New Roman" w:cs="Times New Roman" w:eastAsia="Times New Roman" w:hAnsi="Times New Roman"/>
          <w:sz w:val="23"/>
          <w:szCs w:val="23"/>
        </w:rPr>
        <w:t xml:space="preserve">, </w:t>
      </w:r>
      <w:r>
        <w:rPr>
          <w:rFonts w:ascii="Consolas" w:cs="Consolas" w:eastAsia="Consolas" w:hAnsi="Consolas"/>
          <w:color w:val="333333"/>
          <w:sz w:val="20"/>
          <w:szCs w:val="20"/>
        </w:rPr>
        <w:t xml:space="preserve">tests/</w:t>
      </w:r>
      <w:r>
        <w:rPr>
          <w:rFonts w:ascii="Times New Roman" w:cs="Times New Roman" w:eastAsia="Times New Roman" w:hAnsi="Times New Roman"/>
          <w:sz w:val="23"/>
          <w:szCs w:val="23"/>
        </w:rPr>
        <w:t xml:space="preserve"> and </w:t>
      </w:r>
      <w:r>
        <w:rPr>
          <w:rFonts w:ascii="Consolas" w:cs="Consolas" w:eastAsia="Consolas" w:hAnsi="Consolas"/>
          <w:color w:val="333333"/>
          <w:sz w:val="20"/>
          <w:szCs w:val="20"/>
        </w:rPr>
        <w:t xml:space="preserve">docs/</w:t>
      </w:r>
      <w:r>
        <w:rPr>
          <w:rFonts w:ascii="Times New Roman" w:cs="Times New Roman" w:eastAsia="Times New Roman" w:hAnsi="Times New Roman"/>
          <w:sz w:val="23"/>
          <w:szCs w:val="23"/>
        </w:rPr>
        <w:t xml:space="preserve">, wrote the CI workflow, and replaced the broken </w:t>
      </w:r>
      <w:r>
        <w:rPr>
          <w:rFonts w:ascii="Consolas" w:cs="Consolas" w:eastAsia="Consolas" w:hAnsi="Consolas"/>
          <w:color w:val="333333"/>
          <w:sz w:val="20"/>
          <w:szCs w:val="20"/>
        </w:rPr>
        <w:t xml:space="preserve">requirements.txt</w:t>
      </w:r>
      <w:r>
        <w:rPr>
          <w:rFonts w:ascii="Times New Roman" w:cs="Times New Roman" w:eastAsia="Times New Roman" w:hAnsi="Times New Roman"/>
          <w:sz w:val="23"/>
          <w:szCs w:val="23"/>
        </w:rPr>
        <w:t xml:space="preserve">. I also ran Sprint 9–10 planning in Jira and the weekly stand-ups.</w:t>
      </w:r>
    </w:p>
    <w:p>
      <w:pPr>
        <w:pStyle w:val="ListParagraph"/>
        <w:numPr>
          <w:ilvl w:val="0"/>
          <w:numId w:val="2"/>
        </w:numPr>
        <w:spacing w:after="50" w:line="252"/>
        <w:jc w:val="left"/>
      </w:pPr>
      <w:hyperlink w:history="1" r:id="rIdc0anes3qhubfd3glica5e">
        <w:r>
          <w:rPr>
            <w:rStyle w:val="Hyperlink"/>
            <w:rFonts w:ascii="Times New Roman" w:cs="Times New Roman" w:eastAsia="Times New Roman" w:hAnsi="Times New Roman"/>
            <w:color w:val="1155CC"/>
            <w:sz w:val="23"/>
            <w:szCs w:val="23"/>
            <w:u w:val="single"/>
          </w:rPr>
          <w:t xml:space="preserve">Acquisition module</w:t>
        </w:r>
      </w:hyperlink>
      <w:r>
        <w:rPr>
          <w:rFonts w:ascii="Times New Roman" w:cs="Times New Roman" w:eastAsia="Times New Roman" w:hAnsi="Times New Roman"/>
          <w:sz w:val="23"/>
          <w:szCs w:val="23"/>
        </w:rPr>
        <w:t xml:space="preserve"> · </w:t>
      </w:r>
      <w:hyperlink w:history="1" r:id="rIduqudmquhrismlznychx3a">
        <w:r>
          <w:rPr>
            <w:rStyle w:val="Hyperlink"/>
            <w:rFonts w:ascii="Times New Roman" w:cs="Times New Roman" w:eastAsia="Times New Roman" w:hAnsi="Times New Roman"/>
            <w:color w:val="1155CC"/>
            <w:sz w:val="23"/>
            <w:szCs w:val="23"/>
            <w:u w:val="single"/>
          </w:rPr>
          <w:t xml:space="preserve">Weekly refresh workflow</w:t>
        </w:r>
      </w:hyperlink>
      <w:r>
        <w:rPr>
          <w:rFonts w:ascii="Times New Roman" w:cs="Times New Roman" w:eastAsia="Times New Roman" w:hAnsi="Times New Roman"/>
          <w:sz w:val="23"/>
          <w:szCs w:val="23"/>
        </w:rPr>
        <w:t xml:space="preserve"> · </w:t>
      </w:r>
      <w:hyperlink w:history="1" r:id="rIdwvoob6qqz1dtlfqtikavz">
        <w:r>
          <w:rPr>
            <w:rStyle w:val="Hyperlink"/>
            <w:rFonts w:ascii="Times New Roman" w:cs="Times New Roman" w:eastAsia="Times New Roman" w:hAnsi="Times New Roman"/>
            <w:color w:val="1155CC"/>
            <w:sz w:val="23"/>
            <w:szCs w:val="23"/>
            <w:u w:val="single"/>
          </w:rPr>
          <w:t xml:space="preserve">CI workflow</w:t>
        </w:r>
      </w:hyperlink>
    </w:p>
    <w:p>
      <w:pPr>
        <w:pStyle w:val="ListParagraph"/>
        <w:numPr>
          <w:ilvl w:val="0"/>
          <w:numId w:val="2"/>
        </w:numPr>
        <w:spacing w:after="50" w:line="252"/>
        <w:jc w:val="left"/>
      </w:pPr>
      <w:hyperlink w:history="1" r:id="rIdqgr1aqghp3veqrcyweblt">
        <w:r>
          <w:rPr>
            <w:rStyle w:val="Hyperlink"/>
            <w:rFonts w:ascii="Times New Roman" w:cs="Times New Roman" w:eastAsia="Times New Roman" w:hAnsi="Times New Roman"/>
            <w:color w:val="1155CC"/>
            <w:sz w:val="23"/>
            <w:szCs w:val="23"/>
            <w:u w:val="single"/>
          </w:rPr>
          <w:t xml:space="preserve">Jira Sprint 9–10 epics</w:t>
        </w:r>
      </w:hyperlink>
      <w:r>
        <w:rPr>
          <w:rFonts w:ascii="Times New Roman" w:cs="Times New Roman" w:eastAsia="Times New Roman" w:hAnsi="Times New Roman"/>
          <w:sz w:val="23"/>
          <w:szCs w:val="23"/>
        </w:rPr>
        <w:t xml:space="preserve"> · </w:t>
      </w:r>
      <w:hyperlink w:history="1" r:id="rIdolfdsohf8qd0_mz17lbl7">
        <w:r>
          <w:rPr>
            <w:rStyle w:val="Hyperlink"/>
            <w:rFonts w:ascii="Times New Roman" w:cs="Times New Roman" w:eastAsia="Times New Roman" w:hAnsi="Times New Roman"/>
            <w:color w:val="1155CC"/>
            <w:sz w:val="23"/>
            <w:szCs w:val="23"/>
            <w:u w:val="single"/>
          </w:rPr>
          <w:t xml:space="preserve">Commit history</w:t>
        </w:r>
      </w:hyperlink>
    </w:p>
    <w:p>
      <w:pPr>
        <w:pStyle w:val="Heading3"/>
        <w:keepNext/>
        <w:spacing w:after="60" w:before="140"/>
      </w:pPr>
      <w:r>
        <w:rPr>
          <w:rFonts w:ascii="Times New Roman" w:cs="Times New Roman" w:eastAsia="Times New Roman" w:hAnsi="Times New Roman"/>
        </w:rPr>
        <w:t xml:space="preserve">Professional Reflection</w:t>
      </w:r>
    </w:p>
    <w:p>
      <w:pPr>
        <w:spacing w:after="100" w:before="0" w:line="252"/>
        <w:jc w:val="both"/>
      </w:pPr>
      <w:r>
        <w:rPr>
          <w:rFonts w:ascii="Times New Roman" w:cs="Times New Roman" w:eastAsia="Times New Roman" w:hAnsi="Times New Roman"/>
          <w:sz w:val="23"/>
          <w:szCs w:val="23"/>
        </w:rPr>
        <w:t xml:space="preserve">The most significant work this phase was turning a manual process into a scheduled one. The hard part was not the cron line but making the job safe to run unattended: it had to skip the two-hour back-test, fail loudly, and only publish if the tests passed. Coordinating four people through an audit that found defects in our own earlier work also needed care. We agreed early to treat findings as process issues rather than anyone's fault, and that kept the team moving. My contribution made sure the system keeps working after we stop touching it, which is what moves the project from coursework to something deployable.</w:t>
      </w:r>
    </w:p>
    <w:p>
      <w:pPr>
        <w:pStyle w:val="Heading2"/>
        <w:pageBreakBefore/>
        <w:spacing w:after="80" w:before="0"/>
      </w:pPr>
      <w:r>
        <w:rPr>
          <w:rFonts w:ascii="Times New Roman" w:cs="Times New Roman" w:eastAsia="Times New Roman" w:hAnsi="Times New Roman"/>
        </w:rPr>
        <w:t xml:space="preserve">4.2 Ferdous Anwar Anik</w:t>
      </w:r>
    </w:p>
    <w:p>
      <w:pPr>
        <w:spacing w:after="60" w:before="0" w:line="252"/>
        <w:jc w:val="both"/>
      </w:pPr>
      <w:r>
        <w:rPr>
          <w:rFonts w:ascii="Times New Roman" w:cs="Times New Roman" w:eastAsia="Times New Roman" w:hAnsi="Times New Roman"/>
          <w:b/>
          <w:bCs/>
          <w:sz w:val="23"/>
          <w:szCs w:val="23"/>
        </w:rPr>
        <w:t xml:space="preserve">Student ID:</w:t>
      </w:r>
      <w:r>
        <w:rPr>
          <w:rFonts w:ascii="Times New Roman" w:cs="Times New Roman" w:eastAsia="Times New Roman" w:hAnsi="Times New Roman"/>
          <w:sz w:val="23"/>
          <w:szCs w:val="23"/>
        </w:rPr>
        <w:t xml:space="preserve"> S388272</w:t>
      </w:r>
    </w:p>
    <w:p>
      <w:pPr>
        <w:pStyle w:val="Heading3"/>
        <w:keepNext/>
        <w:spacing w:after="60" w:before="140"/>
      </w:pPr>
      <w:r>
        <w:rPr>
          <w:rFonts w:ascii="Times New Roman" w:cs="Times New Roman" w:eastAsia="Times New Roman" w:hAnsi="Times New Roman"/>
        </w:rPr>
        <w:t xml:space="preserve">Individual Capstone Project Completion Evidence</w:t>
      </w:r>
    </w:p>
    <w:p>
      <w:pPr>
        <w:pBdr>
          <w:top w:val="dashed" w:color="999999" w:sz="6" w:space="6"/>
          <w:bottom w:val="dashed" w:color="999999" w:sz="6" w:space="6"/>
          <w:left w:val="dashed" w:color="999999" w:sz="6" w:space="6"/>
          <w:right w:val="dashed" w:color="999999" w:sz="6" w:space="6"/>
        </w:pBdr>
        <w:spacing w:after="60" w:before="60"/>
        <w:jc w:val="center"/>
      </w:pPr>
      <w:r>
        <w:rPr>
          <w:rFonts w:ascii="Times New Roman" w:cs="Times New Roman" w:eastAsia="Times New Roman" w:hAnsi="Times New Roman"/>
          <w:i/>
          <w:iCs/>
          <w:color w:val="888888"/>
          <w:sz w:val="20"/>
          <w:szCs w:val="20"/>
        </w:rPr>
        <w:t xml:space="preserve">[INSERT SCREENSHOT: Individual Capstone Project name, completion status, score, and completion date &amp; time]</w:t>
      </w:r>
    </w:p>
    <w:p>
      <w:pPr>
        <w:spacing w:after="3200"/>
      </w:pPr>
    </w:p>
    <w:p>
      <w:pPr>
        <w:pStyle w:val="Heading3"/>
        <w:keepNext/>
        <w:spacing w:after="60" w:before="140"/>
      </w:pPr>
      <w:r>
        <w:rPr>
          <w:rFonts w:ascii="Times New Roman" w:cs="Times New Roman" w:eastAsia="Times New Roman" w:hAnsi="Times New Roman"/>
        </w:rPr>
        <w:t xml:space="preserve">Individual Project Contribution (since Assessment 2)</w:t>
      </w:r>
    </w:p>
    <w:p>
      <w:pPr>
        <w:spacing w:after="100" w:before="0" w:line="252"/>
        <w:jc w:val="both"/>
      </w:pPr>
      <w:r>
        <w:rPr>
          <w:rFonts w:ascii="Times New Roman" w:cs="Times New Roman" w:eastAsia="Times New Roman" w:hAnsi="Times New Roman"/>
          <w:sz w:val="23"/>
          <w:szCs w:val="23"/>
        </w:rPr>
        <w:t xml:space="preserve">I led the Sprint 9 audit and the data-engineering rebuild. I wrote the nested-archive parser that reproduces A2's 2,762,903 raw records, corrected the cleaning module so it reproduces A2 Table 3.1, and vectorised outlier flagging (179 s → 5 s). I designed schema v2 (model registry, forecasts, audit log, privacy view), wrote the transactional COPY loader that repopulated </w:t>
      </w:r>
      <w:r>
        <w:rPr>
          <w:rFonts w:ascii="Consolas" w:cs="Consolas" w:eastAsia="Consolas" w:hAnsi="Consolas"/>
          <w:color w:val="333333"/>
          <w:sz w:val="20"/>
          <w:szCs w:val="20"/>
        </w:rPr>
        <w:t xml:space="preserve">raw_sales</w:t>
      </w:r>
      <w:r>
        <w:rPr>
          <w:rFonts w:ascii="Times New Roman" w:cs="Times New Roman" w:eastAsia="Times New Roman" w:hAnsi="Times New Roman"/>
          <w:sz w:val="23"/>
          <w:szCs w:val="23"/>
        </w:rPr>
        <w:t xml:space="preserve"> and </w:t>
      </w:r>
      <w:r>
        <w:rPr>
          <w:rFonts w:ascii="Consolas" w:cs="Consolas" w:eastAsia="Consolas" w:hAnsi="Consolas"/>
          <w:color w:val="333333"/>
          <w:sz w:val="20"/>
          <w:szCs w:val="20"/>
        </w:rPr>
        <w:t xml:space="preserve">suburb_dim</w:t>
      </w:r>
      <w:r>
        <w:rPr>
          <w:rFonts w:ascii="Times New Roman" w:cs="Times New Roman" w:eastAsia="Times New Roman" w:hAnsi="Times New Roman"/>
          <w:sz w:val="23"/>
          <w:szCs w:val="23"/>
        </w:rPr>
        <w:t xml:space="preserve">, and implemented the least-privilege roles. I rebuilt the feature store on a complete grid with the lagged ABS regressor, and wrote the look-ahead and reconciliation tests.</w:t>
      </w:r>
    </w:p>
    <w:p>
      <w:pPr>
        <w:pStyle w:val="ListParagraph"/>
        <w:numPr>
          <w:ilvl w:val="0"/>
          <w:numId w:val="2"/>
        </w:numPr>
        <w:spacing w:after="50" w:line="252"/>
        <w:jc w:val="left"/>
      </w:pPr>
      <w:hyperlink w:history="1" r:id="rId6rbk34s5piqmgmw8asws9">
        <w:r>
          <w:rPr>
            <w:rStyle w:val="Hyperlink"/>
            <w:rFonts w:ascii="Times New Roman" w:cs="Times New Roman" w:eastAsia="Times New Roman" w:hAnsi="Times New Roman"/>
            <w:color w:val="1155CC"/>
            <w:sz w:val="23"/>
            <w:szCs w:val="23"/>
            <w:u w:val="single"/>
          </w:rPr>
          <w:t xml:space="preserve">parsing.py</w:t>
        </w:r>
      </w:hyperlink>
      <w:r>
        <w:rPr>
          <w:rFonts w:ascii="Times New Roman" w:cs="Times New Roman" w:eastAsia="Times New Roman" w:hAnsi="Times New Roman"/>
          <w:sz w:val="23"/>
          <w:szCs w:val="23"/>
        </w:rPr>
        <w:t xml:space="preserve"> · </w:t>
      </w:r>
      <w:hyperlink w:history="1" r:id="rIdeziropvp7xdnajf_hp8pr">
        <w:r>
          <w:rPr>
            <w:rStyle w:val="Hyperlink"/>
            <w:rFonts w:ascii="Times New Roman" w:cs="Times New Roman" w:eastAsia="Times New Roman" w:hAnsi="Times New Roman"/>
            <w:color w:val="1155CC"/>
            <w:sz w:val="23"/>
            <w:szCs w:val="23"/>
            <w:u w:val="single"/>
          </w:rPr>
          <w:t xml:space="preserve">cleaning.py</w:t>
        </w:r>
      </w:hyperlink>
      <w:r>
        <w:rPr>
          <w:rFonts w:ascii="Times New Roman" w:cs="Times New Roman" w:eastAsia="Times New Roman" w:hAnsi="Times New Roman"/>
          <w:sz w:val="23"/>
          <w:szCs w:val="23"/>
        </w:rPr>
        <w:t xml:space="preserve"> · </w:t>
      </w:r>
      <w:hyperlink w:history="1" r:id="rId0xt1jsq-kninkcnjl2nw5">
        <w:r>
          <w:rPr>
            <w:rStyle w:val="Hyperlink"/>
            <w:rFonts w:ascii="Times New Roman" w:cs="Times New Roman" w:eastAsia="Times New Roman" w:hAnsi="Times New Roman"/>
            <w:color w:val="1155CC"/>
            <w:sz w:val="23"/>
            <w:szCs w:val="23"/>
            <w:u w:val="single"/>
          </w:rPr>
          <w:t xml:space="preserve">features.py</w:t>
        </w:r>
      </w:hyperlink>
      <w:r>
        <w:rPr>
          <w:rFonts w:ascii="Times New Roman" w:cs="Times New Roman" w:eastAsia="Times New Roman" w:hAnsi="Times New Roman"/>
          <w:sz w:val="23"/>
          <w:szCs w:val="23"/>
        </w:rPr>
        <w:t xml:space="preserve"> · </w:t>
      </w:r>
      <w:hyperlink w:history="1" r:id="rIdby1gqzdcx24pfmj36y_l3">
        <w:r>
          <w:rPr>
            <w:rStyle w:val="Hyperlink"/>
            <w:rFonts w:ascii="Times New Roman" w:cs="Times New Roman" w:eastAsia="Times New Roman" w:hAnsi="Times New Roman"/>
            <w:color w:val="1155CC"/>
            <w:sz w:val="23"/>
            <w:szCs w:val="23"/>
            <w:u w:val="single"/>
          </w:rPr>
          <w:t xml:space="preserve">db.py</w:t>
        </w:r>
      </w:hyperlink>
    </w:p>
    <w:p>
      <w:pPr>
        <w:pStyle w:val="ListParagraph"/>
        <w:numPr>
          <w:ilvl w:val="0"/>
          <w:numId w:val="2"/>
        </w:numPr>
        <w:spacing w:after="50" w:line="252"/>
        <w:jc w:val="left"/>
      </w:pPr>
      <w:hyperlink w:history="1" r:id="rIdpj6pcnylvvkxt_mhrfegl">
        <w:r>
          <w:rPr>
            <w:rStyle w:val="Hyperlink"/>
            <w:rFonts w:ascii="Times New Roman" w:cs="Times New Roman" w:eastAsia="Times New Roman" w:hAnsi="Times New Roman"/>
            <w:color w:val="1155CC"/>
            <w:sz w:val="23"/>
            <w:szCs w:val="23"/>
            <w:u w:val="single"/>
          </w:rPr>
          <w:t xml:space="preserve">schema_v2.sql</w:t>
        </w:r>
      </w:hyperlink>
      <w:r>
        <w:rPr>
          <w:rFonts w:ascii="Times New Roman" w:cs="Times New Roman" w:eastAsia="Times New Roman" w:hAnsi="Times New Roman"/>
          <w:sz w:val="23"/>
          <w:szCs w:val="23"/>
        </w:rPr>
        <w:t xml:space="preserve"> · </w:t>
      </w:r>
      <w:hyperlink w:history="1" r:id="rId0y24kec1idobk4fz3b8ac">
        <w:r>
          <w:rPr>
            <w:rStyle w:val="Hyperlink"/>
            <w:rFonts w:ascii="Times New Roman" w:cs="Times New Roman" w:eastAsia="Times New Roman" w:hAnsi="Times New Roman"/>
            <w:color w:val="1155CC"/>
            <w:sz w:val="23"/>
            <w:szCs w:val="23"/>
            <w:u w:val="single"/>
          </w:rPr>
          <w:t xml:space="preserve">tests</w:t>
        </w:r>
      </w:hyperlink>
      <w:r>
        <w:rPr>
          <w:rFonts w:ascii="Times New Roman" w:cs="Times New Roman" w:eastAsia="Times New Roman" w:hAnsi="Times New Roman"/>
          <w:sz w:val="23"/>
          <w:szCs w:val="23"/>
        </w:rPr>
        <w:t xml:space="preserve"> · </w:t>
      </w:r>
      <w:hyperlink w:history="1" r:id="rIddc-4ugp1dglovrhfjzjvg">
        <w:r>
          <w:rPr>
            <w:rStyle w:val="Hyperlink"/>
            <w:rFonts w:ascii="Times New Roman" w:cs="Times New Roman" w:eastAsia="Times New Roman" w:hAnsi="Times New Roman"/>
            <w:color w:val="1155CC"/>
            <w:sz w:val="23"/>
            <w:szCs w:val="23"/>
            <w:u w:val="single"/>
          </w:rPr>
          <w:t xml:space="preserve">Jira tasks</w:t>
        </w:r>
      </w:hyperlink>
    </w:p>
    <w:p>
      <w:pPr>
        <w:pStyle w:val="Heading3"/>
        <w:keepNext/>
        <w:spacing w:after="60" w:before="140"/>
      </w:pPr>
      <w:r>
        <w:rPr>
          <w:rFonts w:ascii="Times New Roman" w:cs="Times New Roman" w:eastAsia="Times New Roman" w:hAnsi="Times New Roman"/>
        </w:rPr>
        <w:t xml:space="preserve">Professional Reflection</w:t>
      </w:r>
    </w:p>
    <w:p>
      <w:pPr>
        <w:spacing w:after="100" w:before="0" w:line="252"/>
        <w:jc w:val="both"/>
      </w:pPr>
      <w:r>
        <w:rPr>
          <w:rFonts w:ascii="Times New Roman" w:cs="Times New Roman" w:eastAsia="Times New Roman" w:hAnsi="Times New Roman"/>
          <w:sz w:val="23"/>
          <w:szCs w:val="23"/>
        </w:rPr>
        <w:t xml:space="preserve">The most significant thing I did was find that 9.5% of our own QoQ targets spanned a missing quarter. It was an uncomfortable discovery, because the A2 feature store was my work. The fix itself was simple; deciding to rebuild rather than patch, and then proving the new store had no look-ahead, took longer. Writing a test that deliberately corrupts future data taught me more about leakage than any lecture had. Because modelling and the app both sit on this layer, getting it right was what allowed the rest of the team to trust the numbers in this report. It also gave us a reproducible baseline, so any later change can be checked against known counts.</w:t>
      </w:r>
    </w:p>
    <w:p>
      <w:pPr>
        <w:pStyle w:val="Heading2"/>
        <w:pageBreakBefore/>
        <w:spacing w:after="80" w:before="0"/>
      </w:pPr>
      <w:r>
        <w:rPr>
          <w:rFonts w:ascii="Times New Roman" w:cs="Times New Roman" w:eastAsia="Times New Roman" w:hAnsi="Times New Roman"/>
        </w:rPr>
        <w:t xml:space="preserve">4.3 Mohd Yah Ya Raiyan</w:t>
      </w:r>
    </w:p>
    <w:p>
      <w:pPr>
        <w:spacing w:after="60" w:before="0" w:line="252"/>
        <w:jc w:val="both"/>
      </w:pPr>
      <w:r>
        <w:rPr>
          <w:rFonts w:ascii="Times New Roman" w:cs="Times New Roman" w:eastAsia="Times New Roman" w:hAnsi="Times New Roman"/>
          <w:b/>
          <w:bCs/>
          <w:sz w:val="23"/>
          <w:szCs w:val="23"/>
        </w:rPr>
        <w:t xml:space="preserve">Student ID:</w:t>
      </w:r>
      <w:r>
        <w:rPr>
          <w:rFonts w:ascii="Times New Roman" w:cs="Times New Roman" w:eastAsia="Times New Roman" w:hAnsi="Times New Roman"/>
          <w:sz w:val="23"/>
          <w:szCs w:val="23"/>
        </w:rPr>
        <w:t xml:space="preserve"> S390934</w:t>
      </w:r>
    </w:p>
    <w:p>
      <w:pPr>
        <w:pStyle w:val="Heading3"/>
        <w:keepNext/>
        <w:spacing w:after="60" w:before="140"/>
      </w:pPr>
      <w:r>
        <w:rPr>
          <w:rFonts w:ascii="Times New Roman" w:cs="Times New Roman" w:eastAsia="Times New Roman" w:hAnsi="Times New Roman"/>
        </w:rPr>
        <w:t xml:space="preserve">Individual Capstone Project Completion Evidence</w:t>
      </w:r>
    </w:p>
    <w:p>
      <w:pPr>
        <w:pBdr>
          <w:top w:val="dashed" w:color="999999" w:sz="6" w:space="6"/>
          <w:bottom w:val="dashed" w:color="999999" w:sz="6" w:space="6"/>
          <w:left w:val="dashed" w:color="999999" w:sz="6" w:space="6"/>
          <w:right w:val="dashed" w:color="999999" w:sz="6" w:space="6"/>
        </w:pBdr>
        <w:spacing w:after="60" w:before="60"/>
        <w:jc w:val="center"/>
      </w:pPr>
      <w:r>
        <w:rPr>
          <w:rFonts w:ascii="Times New Roman" w:cs="Times New Roman" w:eastAsia="Times New Roman" w:hAnsi="Times New Roman"/>
          <w:i/>
          <w:iCs/>
          <w:color w:val="888888"/>
          <w:sz w:val="20"/>
          <w:szCs w:val="20"/>
        </w:rPr>
        <w:t xml:space="preserve">[INSERT SCREENSHOT: Individual Capstone Project name, completion status, score, and completion date &amp; time]</w:t>
      </w:r>
    </w:p>
    <w:p>
      <w:pPr>
        <w:spacing w:after="3200"/>
      </w:pPr>
    </w:p>
    <w:p>
      <w:pPr>
        <w:pStyle w:val="Heading3"/>
        <w:keepNext/>
        <w:spacing w:after="60" w:before="140"/>
      </w:pPr>
      <w:r>
        <w:rPr>
          <w:rFonts w:ascii="Times New Roman" w:cs="Times New Roman" w:eastAsia="Times New Roman" w:hAnsi="Times New Roman"/>
        </w:rPr>
        <w:t xml:space="preserve">Individual Project Contribution (since Assessment 2)</w:t>
      </w:r>
    </w:p>
    <w:p>
      <w:pPr>
        <w:spacing w:after="100" w:before="0" w:line="252"/>
        <w:jc w:val="both"/>
      </w:pPr>
      <w:r>
        <w:rPr>
          <w:rFonts w:ascii="Times New Roman" w:cs="Times New Roman" w:eastAsia="Times New Roman" w:hAnsi="Times New Roman"/>
          <w:sz w:val="23"/>
          <w:szCs w:val="23"/>
        </w:rPr>
        <w:t xml:space="preserve">I led modelling and evaluation. I set up the validation design (separate tuning and test windows), ran the design and hyper-parameter search, and built the walk-forward back-test that scores 12 models on identical suburb-quarters across four horizons. That included re-running SARIMA and Prophet and reproducing the A2 Gradient Boosting model. I implemented conformalised quantile regression for the P10–P90 bands and the statistical evaluation: Diebold–Mariano tests, the liquidity analysis, segment errors and SHAP.</w:t>
      </w:r>
    </w:p>
    <w:p>
      <w:pPr>
        <w:pStyle w:val="ListParagraph"/>
        <w:numPr>
          <w:ilvl w:val="0"/>
          <w:numId w:val="2"/>
        </w:numPr>
        <w:spacing w:after="50" w:line="252"/>
        <w:jc w:val="left"/>
      </w:pPr>
      <w:hyperlink w:history="1" r:id="rId0wwy0cdxwa3omss_cflcn">
        <w:r>
          <w:rPr>
            <w:rStyle w:val="Hyperlink"/>
            <w:rFonts w:ascii="Times New Roman" w:cs="Times New Roman" w:eastAsia="Times New Roman" w:hAnsi="Times New Roman"/>
            <w:color w:val="1155CC"/>
            <w:sz w:val="23"/>
            <w:szCs w:val="23"/>
            <w:u w:val="single"/>
          </w:rPr>
          <w:t xml:space="preserve">backtest.py</w:t>
        </w:r>
      </w:hyperlink>
      <w:r>
        <w:rPr>
          <w:rFonts w:ascii="Times New Roman" w:cs="Times New Roman" w:eastAsia="Times New Roman" w:hAnsi="Times New Roman"/>
          <w:sz w:val="23"/>
          <w:szCs w:val="23"/>
        </w:rPr>
        <w:t xml:space="preserve"> · </w:t>
      </w:r>
      <w:hyperlink w:history="1" r:id="rId0eipcfrjcuijvehi6c2ef">
        <w:r>
          <w:rPr>
            <w:rStyle w:val="Hyperlink"/>
            <w:rFonts w:ascii="Times New Roman" w:cs="Times New Roman" w:eastAsia="Times New Roman" w:hAnsi="Times New Roman"/>
            <w:color w:val="1155CC"/>
            <w:sz w:val="23"/>
            <w:szCs w:val="23"/>
            <w:u w:val="single"/>
          </w:rPr>
          <w:t xml:space="preserve">models.py</w:t>
        </w:r>
      </w:hyperlink>
      <w:r>
        <w:rPr>
          <w:rFonts w:ascii="Times New Roman" w:cs="Times New Roman" w:eastAsia="Times New Roman" w:hAnsi="Times New Roman"/>
          <w:sz w:val="23"/>
          <w:szCs w:val="23"/>
        </w:rPr>
        <w:t xml:space="preserve"> · </w:t>
      </w:r>
      <w:hyperlink w:history="1" r:id="rIdplap9rpklabmjzs3fpihj">
        <w:r>
          <w:rPr>
            <w:rStyle w:val="Hyperlink"/>
            <w:rFonts w:ascii="Times New Roman" w:cs="Times New Roman" w:eastAsia="Times New Roman" w:hAnsi="Times New Roman"/>
            <w:color w:val="1155CC"/>
            <w:sz w:val="23"/>
            <w:szCs w:val="23"/>
            <w:u w:val="single"/>
          </w:rPr>
          <w:t xml:space="preserve">evaluation.py</w:t>
        </w:r>
      </w:hyperlink>
    </w:p>
    <w:p>
      <w:pPr>
        <w:pStyle w:val="ListParagraph"/>
        <w:numPr>
          <w:ilvl w:val="0"/>
          <w:numId w:val="2"/>
        </w:numPr>
        <w:spacing w:after="50" w:line="252"/>
        <w:jc w:val="left"/>
      </w:pPr>
      <w:hyperlink w:history="1" r:id="rIdbrxecefhdv5f9nydczn2r">
        <w:r>
          <w:rPr>
            <w:rStyle w:val="Hyperlink"/>
            <w:rFonts w:ascii="Times New Roman" w:cs="Times New Roman" w:eastAsia="Times New Roman" w:hAnsi="Times New Roman"/>
            <w:color w:val="1155CC"/>
            <w:sz w:val="23"/>
            <w:szCs w:val="23"/>
            <w:u w:val="single"/>
          </w:rPr>
          <w:t xml:space="preserve">Results tables</w:t>
        </w:r>
      </w:hyperlink>
      <w:r>
        <w:rPr>
          <w:rFonts w:ascii="Times New Roman" w:cs="Times New Roman" w:eastAsia="Times New Roman" w:hAnsi="Times New Roman"/>
          <w:sz w:val="23"/>
          <w:szCs w:val="23"/>
        </w:rPr>
        <w:t xml:space="preserve"> · </w:t>
      </w:r>
      <w:hyperlink w:history="1" r:id="rId2htgsjwo3nmam2eo1uzys">
        <w:r>
          <w:rPr>
            <w:rStyle w:val="Hyperlink"/>
            <w:rFonts w:ascii="Times New Roman" w:cs="Times New Roman" w:eastAsia="Times New Roman" w:hAnsi="Times New Roman"/>
            <w:color w:val="1155CC"/>
            <w:sz w:val="23"/>
            <w:szCs w:val="23"/>
            <w:u w:val="single"/>
          </w:rPr>
          <w:t xml:space="preserve">SHAP script</w:t>
        </w:r>
      </w:hyperlink>
      <w:r>
        <w:rPr>
          <w:rFonts w:ascii="Times New Roman" w:cs="Times New Roman" w:eastAsia="Times New Roman" w:hAnsi="Times New Roman"/>
          <w:sz w:val="23"/>
          <w:szCs w:val="23"/>
        </w:rPr>
        <w:t xml:space="preserve"> · </w:t>
      </w:r>
      <w:hyperlink w:history="1" r:id="rId5esmvybulbb5phzmbi83f">
        <w:r>
          <w:rPr>
            <w:rStyle w:val="Hyperlink"/>
            <w:rFonts w:ascii="Times New Roman" w:cs="Times New Roman" w:eastAsia="Times New Roman" w:hAnsi="Times New Roman"/>
            <w:color w:val="1155CC"/>
            <w:sz w:val="23"/>
            <w:szCs w:val="23"/>
            <w:u w:val="single"/>
          </w:rPr>
          <w:t xml:space="preserve">Jira tasks</w:t>
        </w:r>
      </w:hyperlink>
    </w:p>
    <w:p>
      <w:pPr>
        <w:pStyle w:val="Heading3"/>
        <w:keepNext/>
        <w:spacing w:after="60" w:before="140"/>
      </w:pPr>
      <w:r>
        <w:rPr>
          <w:rFonts w:ascii="Times New Roman" w:cs="Times New Roman" w:eastAsia="Times New Roman" w:hAnsi="Times New Roman"/>
        </w:rPr>
        <w:t xml:space="preserve">Professional Reflection</w:t>
      </w:r>
    </w:p>
    <w:p>
      <w:pPr>
        <w:spacing w:after="100" w:before="0" w:line="252"/>
        <w:jc w:val="both"/>
      </w:pPr>
      <w:r>
        <w:rPr>
          <w:rFonts w:ascii="Times New Roman" w:cs="Times New Roman" w:eastAsia="Times New Roman" w:hAnsi="Times New Roman"/>
          <w:sz w:val="23"/>
          <w:szCs w:val="23"/>
        </w:rPr>
        <w:t xml:space="preserve">The most important result I produced is also the most humbling: once models were compared fairly, the gap between them was much smaller than A2 suggested, and most of the remaining error is sampling noise in suburb medians. My main challenge was resisting the urge to keep tuning on the test set. Fixing the validation window first and evaluating the test window once made the final numbers believable, even when they were less impressive than A2's. A second challenge was compute: the SARIMA re-run alone took over two hours, so I had to plan runs carefully. Calibrating the uncertainty bands was the contribution I am proudest of, because it turns an honest-but-noisy forecast into something a user can actually act on.</w:t>
      </w:r>
    </w:p>
    <w:p>
      <w:pPr>
        <w:pStyle w:val="Heading2"/>
        <w:pageBreakBefore/>
        <w:spacing w:after="80" w:before="0"/>
      </w:pPr>
      <w:r>
        <w:rPr>
          <w:rFonts w:ascii="Times New Roman" w:cs="Times New Roman" w:eastAsia="Times New Roman" w:hAnsi="Times New Roman"/>
        </w:rPr>
        <w:t xml:space="preserve">4.4 Abrar Bin Khaiyum</w:t>
      </w:r>
    </w:p>
    <w:p>
      <w:pPr>
        <w:spacing w:after="60" w:before="0" w:line="252"/>
        <w:jc w:val="both"/>
      </w:pPr>
      <w:r>
        <w:rPr>
          <w:rFonts w:ascii="Times New Roman" w:cs="Times New Roman" w:eastAsia="Times New Roman" w:hAnsi="Times New Roman"/>
          <w:b/>
          <w:bCs/>
          <w:sz w:val="23"/>
          <w:szCs w:val="23"/>
        </w:rPr>
        <w:t xml:space="preserve">Student ID:</w:t>
      </w:r>
      <w:r>
        <w:rPr>
          <w:rFonts w:ascii="Times New Roman" w:cs="Times New Roman" w:eastAsia="Times New Roman" w:hAnsi="Times New Roman"/>
          <w:sz w:val="23"/>
          <w:szCs w:val="23"/>
        </w:rPr>
        <w:t xml:space="preserve"> S395453</w:t>
      </w:r>
    </w:p>
    <w:p>
      <w:pPr>
        <w:pStyle w:val="Heading3"/>
        <w:keepNext/>
        <w:spacing w:after="60" w:before="140"/>
      </w:pPr>
      <w:r>
        <w:rPr>
          <w:rFonts w:ascii="Times New Roman" w:cs="Times New Roman" w:eastAsia="Times New Roman" w:hAnsi="Times New Roman"/>
        </w:rPr>
        <w:t xml:space="preserve">Individual Capstone Project Completion Evidence</w:t>
      </w:r>
    </w:p>
    <w:p>
      <w:pPr>
        <w:pBdr>
          <w:top w:val="dashed" w:color="999999" w:sz="6" w:space="6"/>
          <w:bottom w:val="dashed" w:color="999999" w:sz="6" w:space="6"/>
          <w:left w:val="dashed" w:color="999999" w:sz="6" w:space="6"/>
          <w:right w:val="dashed" w:color="999999" w:sz="6" w:space="6"/>
        </w:pBdr>
        <w:spacing w:after="60" w:before="60"/>
        <w:jc w:val="center"/>
      </w:pPr>
      <w:r>
        <w:rPr>
          <w:rFonts w:ascii="Times New Roman" w:cs="Times New Roman" w:eastAsia="Times New Roman" w:hAnsi="Times New Roman"/>
          <w:i/>
          <w:iCs/>
          <w:color w:val="888888"/>
          <w:sz w:val="20"/>
          <w:szCs w:val="20"/>
        </w:rPr>
        <w:t xml:space="preserve">[INSERT SCREENSHOT: Individual Capstone Project name, completion status, score, and completion date &amp; time]</w:t>
      </w:r>
    </w:p>
    <w:p>
      <w:pPr>
        <w:spacing w:after="3200"/>
      </w:pPr>
    </w:p>
    <w:p>
      <w:pPr>
        <w:pStyle w:val="Heading3"/>
        <w:keepNext/>
        <w:spacing w:after="60" w:before="140"/>
      </w:pPr>
      <w:r>
        <w:rPr>
          <w:rFonts w:ascii="Times New Roman" w:cs="Times New Roman" w:eastAsia="Times New Roman" w:hAnsi="Times New Roman"/>
        </w:rPr>
        <w:t xml:space="preserve">Individual Project Contribution (since Assessment 2)</w:t>
      </w:r>
    </w:p>
    <w:p>
      <w:pPr>
        <w:spacing w:after="100" w:before="0" w:line="252"/>
        <w:jc w:val="both"/>
      </w:pPr>
      <w:r>
        <w:rPr>
          <w:rFonts w:ascii="Times New Roman" w:cs="Times New Roman" w:eastAsia="Times New Roman" w:hAnsi="Times New Roman"/>
          <w:sz w:val="23"/>
          <w:szCs w:val="23"/>
        </w:rPr>
        <w:t xml:space="preserve">I rebuilt the web application around forecasts with calibrated bands and reliability labels, and designed the publishing step that exports only aggregated, suppressed data to the app. I wrote the Dockerfile (non-root, health-checked) and the Streamlit Cloud configuration, and produced the model card, deployment guide and README. I consolidated this final report.</w:t>
      </w:r>
    </w:p>
    <w:p>
      <w:pPr>
        <w:pStyle w:val="ListParagraph"/>
        <w:numPr>
          <w:ilvl w:val="0"/>
          <w:numId w:val="2"/>
        </w:numPr>
        <w:spacing w:after="50" w:line="252"/>
        <w:jc w:val="left"/>
      </w:pPr>
      <w:hyperlink w:history="1" r:id="rIdz_pllyrzplyhbjovazenb">
        <w:r>
          <w:rPr>
            <w:rStyle w:val="Hyperlink"/>
            <w:rFonts w:ascii="Times New Roman" w:cs="Times New Roman" w:eastAsia="Times New Roman" w:hAnsi="Times New Roman"/>
            <w:color w:val="1155CC"/>
            <w:sz w:val="23"/>
            <w:szCs w:val="23"/>
            <w:u w:val="single"/>
          </w:rPr>
          <w:t xml:space="preserve">app.py</w:t>
        </w:r>
      </w:hyperlink>
      <w:r>
        <w:rPr>
          <w:rFonts w:ascii="Times New Roman" w:cs="Times New Roman" w:eastAsia="Times New Roman" w:hAnsi="Times New Roman"/>
          <w:sz w:val="23"/>
          <w:szCs w:val="23"/>
        </w:rPr>
        <w:t xml:space="preserve"> · </w:t>
      </w:r>
      <w:hyperlink w:history="1" r:id="rId3n92dxoe90lneuco3k7j8">
        <w:r>
          <w:rPr>
            <w:rStyle w:val="Hyperlink"/>
            <w:rFonts w:ascii="Times New Roman" w:cs="Times New Roman" w:eastAsia="Times New Roman" w:hAnsi="Times New Roman"/>
            <w:color w:val="1155CC"/>
            <w:sz w:val="23"/>
            <w:szCs w:val="23"/>
            <w:u w:val="single"/>
          </w:rPr>
          <w:t xml:space="preserve">build_app_data.py</w:t>
        </w:r>
      </w:hyperlink>
      <w:r>
        <w:rPr>
          <w:rFonts w:ascii="Times New Roman" w:cs="Times New Roman" w:eastAsia="Times New Roman" w:hAnsi="Times New Roman"/>
          <w:sz w:val="23"/>
          <w:szCs w:val="23"/>
        </w:rPr>
        <w:t xml:space="preserve"> · </w:t>
      </w:r>
      <w:hyperlink w:history="1" r:id="rIdxkw-ieljum9o7wyqu0yxs">
        <w:r>
          <w:rPr>
            <w:rStyle w:val="Hyperlink"/>
            <w:rFonts w:ascii="Times New Roman" w:cs="Times New Roman" w:eastAsia="Times New Roman" w:hAnsi="Times New Roman"/>
            <w:color w:val="1155CC"/>
            <w:sz w:val="23"/>
            <w:szCs w:val="23"/>
            <w:u w:val="single"/>
          </w:rPr>
          <w:t xml:space="preserve">Dockerfile</w:t>
        </w:r>
      </w:hyperlink>
    </w:p>
    <w:p>
      <w:pPr>
        <w:pStyle w:val="ListParagraph"/>
        <w:numPr>
          <w:ilvl w:val="0"/>
          <w:numId w:val="2"/>
        </w:numPr>
        <w:spacing w:after="50" w:line="252"/>
        <w:jc w:val="left"/>
      </w:pPr>
      <w:hyperlink w:history="1" r:id="rIdv2l9r0fmqifvqoe4t9gnf">
        <w:r>
          <w:rPr>
            <w:rStyle w:val="Hyperlink"/>
            <w:rFonts w:ascii="Times New Roman" w:cs="Times New Roman" w:eastAsia="Times New Roman" w:hAnsi="Times New Roman"/>
            <w:color w:val="1155CC"/>
            <w:sz w:val="23"/>
            <w:szCs w:val="23"/>
            <w:u w:val="single"/>
          </w:rPr>
          <w:t xml:space="preserve">Model card</w:t>
        </w:r>
      </w:hyperlink>
      <w:r>
        <w:rPr>
          <w:rFonts w:ascii="Times New Roman" w:cs="Times New Roman" w:eastAsia="Times New Roman" w:hAnsi="Times New Roman"/>
          <w:sz w:val="23"/>
          <w:szCs w:val="23"/>
        </w:rPr>
        <w:t xml:space="preserve"> · </w:t>
      </w:r>
      <w:hyperlink w:history="1" r:id="rIdhwktcf3baa5gzlwvtxw9f">
        <w:r>
          <w:rPr>
            <w:rStyle w:val="Hyperlink"/>
            <w:rFonts w:ascii="Times New Roman" w:cs="Times New Roman" w:eastAsia="Times New Roman" w:hAnsi="Times New Roman"/>
            <w:color w:val="1155CC"/>
            <w:sz w:val="23"/>
            <w:szCs w:val="23"/>
            <w:u w:val="single"/>
          </w:rPr>
          <w:t xml:space="preserve">Deployment guide</w:t>
        </w:r>
      </w:hyperlink>
      <w:r>
        <w:rPr>
          <w:rFonts w:ascii="Times New Roman" w:cs="Times New Roman" w:eastAsia="Times New Roman" w:hAnsi="Times New Roman"/>
          <w:sz w:val="23"/>
          <w:szCs w:val="23"/>
        </w:rPr>
        <w:t xml:space="preserve"> · </w:t>
      </w:r>
      <w:hyperlink w:history="1" r:id="rIdztzz7m-na_jap-f9a5jjb">
        <w:r>
          <w:rPr>
            <w:rStyle w:val="Hyperlink"/>
            <w:rFonts w:ascii="Times New Roman" w:cs="Times New Roman" w:eastAsia="Times New Roman" w:hAnsi="Times New Roman"/>
            <w:color w:val="1155CC"/>
            <w:sz w:val="23"/>
            <w:szCs w:val="23"/>
            <w:u w:val="single"/>
          </w:rPr>
          <w:t xml:space="preserve">Jira tasks</w:t>
        </w:r>
      </w:hyperlink>
    </w:p>
    <w:p>
      <w:pPr>
        <w:pStyle w:val="Heading3"/>
        <w:keepNext/>
        <w:spacing w:after="60" w:before="140"/>
      </w:pPr>
      <w:r>
        <w:rPr>
          <w:rFonts w:ascii="Times New Roman" w:cs="Times New Roman" w:eastAsia="Times New Roman" w:hAnsi="Times New Roman"/>
        </w:rPr>
        <w:t xml:space="preserve">Professional Reflection</w:t>
      </w:r>
    </w:p>
    <w:p>
      <w:pPr>
        <w:spacing w:after="100" w:before="0" w:line="252"/>
        <w:jc w:val="both"/>
      </w:pPr>
      <w:r>
        <w:rPr>
          <w:rFonts w:ascii="Times New Roman" w:cs="Times New Roman" w:eastAsia="Times New Roman" w:hAnsi="Times New Roman"/>
          <w:sz w:val="23"/>
          <w:szCs w:val="23"/>
        </w:rPr>
        <w:t xml:space="preserve">The most significant work was redesigning the app so that uncertainty comes first: the shaded band, the reliability label and a plain-English accuracy note now sit beside every number. The technical challenge was keeping the app small and safe. Moving it from database access to a set of published files removed both the credential problem and the risk of leaking sale-level data. Writing the report taught me how much easier communication becomes when the evidence is reproducible: every figure here can be regenerated, so I could write with confidence. Working on deployment also showed me that most of the effort in a data product goes into the parts users never see: packaging, privacy rules and clear explanations.</w:t>
      </w:r>
    </w:p>
    <w:sectPr>
      <w:footerReference w:type="default" r:id="rId7"/>
      <w:pgSz w:w="11906" w:h="16838" w:orient="portrait"/>
      <w:pgMar w:top="1134" w:right="1134" w:bottom="1134" w:left="1134" w:header="708" w:footer="708" w:gutter="0"/>
      <w:pgNumType w:start="34"/>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PRT661 Sydn2–Theme2 · Assessment 4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60" w:before="140"/>
      <w:outlineLvl w:val="2"/>
    </w:pPr>
    <w:rPr>
      <w:rFonts w:ascii="Times New Roman" w:cs="Times New Roman" w:eastAsia="Times New Roman" w:hAnsi="Times New Roman"/>
      <w:b/>
      <w:bCs/>
      <w:i/>
      <w:i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q0d_z0mbfhuhzmnqnzdp" Type="http://schemas.openxmlformats.org/officeDocument/2006/relationships/hyperlink" Target="https://github.com/AhsanUddin04/PRT661---DATA-SCIENCE-PRACTICE_SYD2_THEME2" TargetMode="External"/><Relationship Id="rIdf2hqaa2dtbzzmh9pmucix" Type="http://schemas.openxmlformats.org/officeDocument/2006/relationships/hyperlink" Target="https://prt661.atlassian.net/jira/software/projects/KAN/boards/2" TargetMode="External"/><Relationship Id="rIdc0anes3qhubfd3glica5e" Type="http://schemas.openxmlformats.org/officeDocument/2006/relationships/hyperlink" Target="https://github.com/AhsanUddin04/PRT661---DATA-SCIENCE-PRACTICE_SYD2_THEME2/blob/main/src/prt661/acquisition.py" TargetMode="External"/><Relationship Id="rIduqudmquhrismlznychx3a" Type="http://schemas.openxmlformats.org/officeDocument/2006/relationships/hyperlink" Target="https://github.com/AhsanUddin04/PRT661---DATA-SCIENCE-PRACTICE_SYD2_THEME2/blob/main/.github/workflows/weekly_refresh.yml" TargetMode="External"/><Relationship Id="rIdwvoob6qqz1dtlfqtikavz" Type="http://schemas.openxmlformats.org/officeDocument/2006/relationships/hyperlink" Target="https://github.com/AhsanUddin04/PRT661---DATA-SCIENCE-PRACTICE_SYD2_THEME2/blob/main/.github/workflows/ci.yml" TargetMode="External"/><Relationship Id="rIdqgr1aqghp3veqrcyweblt" Type="http://schemas.openxmlformats.org/officeDocument/2006/relationships/hyperlink" Target="https://prt661.atlassian.net/jira/software/projects/KAN/boards/2" TargetMode="External"/><Relationship Id="rIdolfdsohf8qd0_mz17lbl7" Type="http://schemas.openxmlformats.org/officeDocument/2006/relationships/hyperlink" Target="https://github.com/AhsanUddin04/PRT661---DATA-SCIENCE-PRACTICE_SYD2_THEME2/commits/main" TargetMode="External"/><Relationship Id="rId6rbk34s5piqmgmw8asws9" Type="http://schemas.openxmlformats.org/officeDocument/2006/relationships/hyperlink" Target="https://github.com/AhsanUddin04/PRT661---DATA-SCIENCE-PRACTICE_SYD2_THEME2/blob/main/src/prt661/parsing.py" TargetMode="External"/><Relationship Id="rIdeziropvp7xdnajf_hp8pr" Type="http://schemas.openxmlformats.org/officeDocument/2006/relationships/hyperlink" Target="https://github.com/AhsanUddin04/PRT661---DATA-SCIENCE-PRACTICE_SYD2_THEME2/blob/main/src/prt661/cleaning.py" TargetMode="External"/><Relationship Id="rId0xt1jsq-kninkcnjl2nw5" Type="http://schemas.openxmlformats.org/officeDocument/2006/relationships/hyperlink" Target="https://github.com/AhsanUddin04/PRT661---DATA-SCIENCE-PRACTICE_SYD2_THEME2/blob/main/src/prt661/features.py" TargetMode="External"/><Relationship Id="rIdby1gqzdcx24pfmj36y_l3" Type="http://schemas.openxmlformats.org/officeDocument/2006/relationships/hyperlink" Target="https://github.com/AhsanUddin04/PRT661---DATA-SCIENCE-PRACTICE_SYD2_THEME2/blob/main/src/prt661/db.py" TargetMode="External"/><Relationship Id="rIdpj6pcnylvvkxt_mhrfegl" Type="http://schemas.openxmlformats.org/officeDocument/2006/relationships/hyperlink" Target="https://github.com/AhsanUddin04/PRT661---DATA-SCIENCE-PRACTICE_SYD2_THEME2/blob/main/database/schema_v2.sql" TargetMode="External"/><Relationship Id="rId0y24kec1idobk4fz3b8ac" Type="http://schemas.openxmlformats.org/officeDocument/2006/relationships/hyperlink" Target="https://github.com/AhsanUddin04/PRT661---DATA-SCIENCE-PRACTICE_SYD2_THEME2/blob/main/tests/test_pipeline.py" TargetMode="External"/><Relationship Id="rIddc-4ugp1dglovrhfjzjvg" Type="http://schemas.openxmlformats.org/officeDocument/2006/relationships/hyperlink" Target="https://prt661.atlassian.net/jira/software/projects/KAN/boards/2" TargetMode="External"/><Relationship Id="rId0wwy0cdxwa3omss_cflcn" Type="http://schemas.openxmlformats.org/officeDocument/2006/relationships/hyperlink" Target="https://github.com/AhsanUddin04/PRT661---DATA-SCIENCE-PRACTICE_SYD2_THEME2/blob/main/src/prt661/backtest.py" TargetMode="External"/><Relationship Id="rId0eipcfrjcuijvehi6c2ef" Type="http://schemas.openxmlformats.org/officeDocument/2006/relationships/hyperlink" Target="https://github.com/AhsanUddin04/PRT661---DATA-SCIENCE-PRACTICE_SYD2_THEME2/blob/main/src/prt661/models.py" TargetMode="External"/><Relationship Id="rIdplap9rpklabmjzs3fpihj" Type="http://schemas.openxmlformats.org/officeDocument/2006/relationships/hyperlink" Target="https://github.com/AhsanUddin04/PRT661---DATA-SCIENCE-PRACTICE_SYD2_THEME2/blob/main/src/prt661/evaluation.py" TargetMode="External"/><Relationship Id="rIdbrxecefhdv5f9nydczn2r" Type="http://schemas.openxmlformats.org/officeDocument/2006/relationships/hyperlink" Target="https://github.com/AhsanUddin04/PRT661---DATA-SCIENCE-PRACTICE_SYD2_THEME2/tree/main/reports/tables" TargetMode="External"/><Relationship Id="rId2htgsjwo3nmam2eo1uzys" Type="http://schemas.openxmlformats.org/officeDocument/2006/relationships/hyperlink" Target="https://github.com/AhsanUddin04/PRT661---DATA-SCIENCE-PRACTICE_SYD2_THEME2/blob/main/scripts/run_explain.py" TargetMode="External"/><Relationship Id="rId5esmvybulbb5phzmbi83f" Type="http://schemas.openxmlformats.org/officeDocument/2006/relationships/hyperlink" Target="https://prt661.atlassian.net/jira/software/projects/KAN/boards/2" TargetMode="External"/><Relationship Id="rIdz_pllyrzplyhbjovazenb" Type="http://schemas.openxmlformats.org/officeDocument/2006/relationships/hyperlink" Target="https://github.com/AhsanUddin04/PRT661---DATA-SCIENCE-PRACTICE_SYD2_THEME2/blob/main/app/app.py" TargetMode="External"/><Relationship Id="rId3n92dxoe90lneuco3k7j8" Type="http://schemas.openxmlformats.org/officeDocument/2006/relationships/hyperlink" Target="https://github.com/AhsanUddin04/PRT661---DATA-SCIENCE-PRACTICE_SYD2_THEME2/blob/main/scripts/build_app_data.py" TargetMode="External"/><Relationship Id="rIdxkw-ieljum9o7wyqu0yxs" Type="http://schemas.openxmlformats.org/officeDocument/2006/relationships/hyperlink" Target="https://github.com/AhsanUddin04/PRT661---DATA-SCIENCE-PRACTICE_SYD2_THEME2/blob/main/Dockerfile" TargetMode="External"/><Relationship Id="rIdv2l9r0fmqifvqoe4t9gnf" Type="http://schemas.openxmlformats.org/officeDocument/2006/relationships/hyperlink" Target="https://github.com/AhsanUddin04/PRT661---DATA-SCIENCE-PRACTICE_SYD2_THEME2/blob/main/docs/MODEL_CARD.md" TargetMode="External"/><Relationship Id="rIdhwktcf3baa5gzlwvtxw9f" Type="http://schemas.openxmlformats.org/officeDocument/2006/relationships/hyperlink" Target="https://github.com/AhsanUddin04/PRT661---DATA-SCIENCE-PRACTICE_SYD2_THEME2/blob/main/docs/DEPLOYMENT.md" TargetMode="External"/><Relationship Id="rIdztzz7m-na_jap-f9a5jjb" Type="http://schemas.openxmlformats.org/officeDocument/2006/relationships/hyperlink" Target="https://prt661.atlassian.net/jira/software/projects/KAN/boards/2" TargetMode="External"/><Relationship Id="rId8" Type="http://schemas.openxmlformats.org/officeDocument/2006/relationships/image" Target="media/6445023291dbc0c8fd3713d7139a94a3cec6e5cd.png"/><Relationship Id="rId9" Type="http://schemas.openxmlformats.org/officeDocument/2006/relationships/image" Target="media/15455b9b9fc06cacb7593a1f5e3c46cf0fbc237d.png"/><Relationship Id="rId10" Type="http://schemas.openxmlformats.org/officeDocument/2006/relationships/image" Target="media/c2ebb00541c9019b00218ada3995e71d133fc132.png"/><Relationship Id="rId11" Type="http://schemas.openxmlformats.org/officeDocument/2006/relationships/image" Target="media/a255716adf4626416e9e7155c5c74e40009bfdfa.png"/><Relationship Id="rId12" Type="http://schemas.openxmlformats.org/officeDocument/2006/relationships/image" Target="media/b1ffcc94b781c0d095ec288fb9e60718d3a18dc6.png"/><Relationship Id="rId13" Type="http://schemas.openxmlformats.org/officeDocument/2006/relationships/image" Target="media/3c39dfa6e54f8bf8964f5d06912f55c3264727f6.png"/><Relationship Id="rId14" Type="http://schemas.openxmlformats.org/officeDocument/2006/relationships/image" Target="media/f7955820059b019444d165c0b5b99626ff174f10.png"/><Relationship Id="rId15" Type="http://schemas.openxmlformats.org/officeDocument/2006/relationships/image" Target="media/06a6fc1b2c3668220ced39700c254cecd571b41f.png"/><Relationship Id="rId16" Type="http://schemas.openxmlformats.org/officeDocument/2006/relationships/image" Target="media/1cbeaad74e2539a4d264955e0d514c6f0d11f1a1.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PRT661 Assessment 4 – Final Professional Report</dc:title>
  <dc:creator>Sydn2 – Theme 2</dc:creator>
  <cp:lastModifiedBy>Un-named</cp:lastModifiedBy>
  <cp:revision>1</cp:revision>
  <dcterms:created xsi:type="dcterms:W3CDTF">2026-10-12T15:01:16.120Z</dcterms:created>
  <dcterms:modified xsi:type="dcterms:W3CDTF">2026-10-12T15:01:16.121Z</dcterms:modified>
</cp:coreProperties>
</file>

<file path=docProps/custom.xml><?xml version="1.0" encoding="utf-8"?>
<Properties xmlns="http://schemas.openxmlformats.org/officeDocument/2006/custom-properties" xmlns:vt="http://schemas.openxmlformats.org/officeDocument/2006/docPropsVTypes"/>
</file>