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360"/>
        <w:jc w:val="center"/>
      </w:pPr>
      <w:r>
        <w:rPr>
          <w:rFonts w:ascii="Calibri" w:hAnsi="Calibri"/>
          <w:b/>
          <w:i w:val="0"/>
          <w:color w:val="B7791F"/>
          <w:sz w:val="20"/>
        </w:rPr>
        <w:t>TECHNICAL RESEARCH AND PROJECT ANALYSIS</w:t>
      </w:r>
    </w:p>
    <w:p>
      <w:pPr>
        <w:spacing w:before="0" w:after="140"/>
        <w:jc w:val="center"/>
      </w:pPr>
      <w:r>
        <w:rPr>
          <w:rFonts w:ascii="Calibri" w:hAnsi="Calibri"/>
          <w:b/>
          <w:i w:val="0"/>
          <w:color w:val="0B2545"/>
          <w:sz w:val="60"/>
        </w:rPr>
        <w:t>DailyCart</w:t>
      </w:r>
    </w:p>
    <w:p>
      <w:pPr>
        <w:spacing w:before="0" w:after="560"/>
        <w:jc w:val="center"/>
      </w:pPr>
      <w:r>
        <w:rPr>
          <w:rFonts w:ascii="Calibri" w:hAnsi="Calibri"/>
          <w:b w:val="0"/>
          <w:i w:val="0"/>
          <w:color w:val="1F4D78"/>
          <w:sz w:val="30"/>
        </w:rPr>
        <w:t>Architecture, Feasibility, Readiness, and Improvement Roadmap</w:t>
      </w:r>
    </w:p>
    <w:p>
      <w:pPr>
        <w:spacing w:before="0" w:after="1600"/>
        <w:jc w:val="center"/>
      </w:pPr>
      <w:r>
        <w:rPr>
          <w:rFonts w:ascii="Calibri" w:hAnsi="Calibri"/>
          <w:b w:val="0"/>
          <w:i/>
          <w:color w:val="5B6573"/>
          <w:sz w:val="22"/>
        </w:rPr>
        <w:t>A repository-based evaluation of a Sri Lankan multi-vendor grocery delivery platform</w:t>
      </w:r>
    </w:p>
    <w:p>
      <w:pPr>
        <w:spacing w:before="0" w:after="160"/>
        <w:jc w:val="center"/>
      </w:pPr>
      <w:r>
        <w:rPr>
          <w:rFonts w:ascii="Calibri" w:hAnsi="Calibri"/>
          <w:b w:val="0"/>
          <w:i w:val="0"/>
          <w:color w:val="5B6573"/>
          <w:sz w:val="20"/>
        </w:rPr>
        <w:t>Prepared from the project snapshot and authoritative technical, market, payment, security, and regulatory sources</w:t>
      </w:r>
    </w:p>
    <w:p>
      <w:pPr>
        <w:spacing w:before="0" w:after="0"/>
        <w:jc w:val="center"/>
      </w:pPr>
      <w:r>
        <w:rPr>
          <w:rFonts w:ascii="Calibri" w:hAnsi="Calibri"/>
          <w:b/>
          <w:i w:val="0"/>
          <w:color w:val="0B2545"/>
          <w:sz w:val="22"/>
        </w:rPr>
        <w:t>18 July 2026</w:t>
      </w:r>
    </w:p>
    <w:p>
      <w:r>
        <w:br w:type="page"/>
      </w:r>
    </w:p>
    <w:p>
      <w:pPr>
        <w:pStyle w:val="Heading1"/>
        <w:keepNext/>
      </w:pPr>
      <w:r>
        <w:t>Abstract</w:t>
      </w:r>
    </w:p>
    <w:p>
      <w:pPr>
        <w:spacing w:before="0"/>
      </w:pPr>
      <w:r>
        <w:rPr>
          <w:rFonts w:ascii="Calibri" w:hAnsi="Calibri"/>
          <w:b w:val="0"/>
          <w:i w:val="0"/>
          <w:color w:val="000000"/>
          <w:sz w:val="22"/>
        </w:rPr>
        <w:t>This study evaluates DailyCart as a multi-vendor grocery delivery system for Sri Lanka. The analysis combines repository inspection, route and schema inventory, source-level tracing of critical business rules, automated verification, web/mobile contract comparison, and comparison against authoritative guidance for Laravel, Flutter, MySQL, API security, PayHere, Google Maps, and Sri Lankan digital-commerce obligations. The web platform demonstrates unusually broad functional coverage: marketplace governance, stock-safe multi-vendor checkout, four payment modes, rider delivery, loyalty, subscriptions, refunds, support, reports, notifications, integrations, and encrypted backups. All 54 available automated tests passed with 241 assertions, and the web asset production build completed successfully.</w:t>
      </w:r>
    </w:p>
    <w:p>
      <w:pPr>
        <w:spacing w:before="0"/>
      </w:pPr>
      <w:r>
        <w:rPr>
          <w:rFonts w:ascii="Calibri" w:hAnsi="Calibri"/>
          <w:b w:val="0"/>
          <w:i w:val="0"/>
          <w:color w:val="000000"/>
          <w:sz w:val="22"/>
        </w:rPr>
        <w:t>The central finding is that the Laravel web application is a credible feature-complete baseline, but the end-to-end product is not yet release-complete. The Flutter client contains 227 Dart files and rich customer/vendor/rider screens, yet many client service paths do not exist in the current 27-route API surface, and the default mobile base URL omits the /v1 prefix. The recommended strategy is to preserve the modular monolith, establish an explicit OpenAPI contract, close the mobile/API gap, harden payment and top-up placeholders, complete privacy and consumer-transparency controls, define operational service levels, and add production-like load, recovery, and mobile verification.</w:t>
      </w:r>
    </w:p>
    <w:tbl>
      <w:tblPr>
        <w:tblW w:type="dxa" w:w="9360"/>
        <w:jc w:val="left"/>
        <w:tblLayout w:type="fixed"/>
        <w:tblLook w:firstColumn="1" w:firstRow="1" w:lastColumn="0" w:lastRow="0" w:noHBand="0" w:noVBand="1" w:val="04A0"/>
        <w:tblInd w:w="120" w:type="dxa"/>
        <w:tblBorders>
          <w:top w:val="single" w:sz="1" w:color="F4F6F9"/>
          <w:left w:val="single" w:sz="1" w:color="F4F6F9"/>
          <w:bottom w:val="single" w:sz="1" w:color="F4F6F9"/>
          <w:right w:val="single" w:sz="1" w:color="F4F6F9"/>
          <w:insideH w:val="single" w:sz="1" w:color="F4F6F9"/>
          <w:insideV w:val="single" w:sz="1" w:color="F4F6F9"/>
        </w:tblBorders>
      </w:tblPr>
      <w:tblGrid>
        <w:gridCol w:w="9360"/>
      </w:tblGrid>
      <w:tr>
        <w:trPr>
          <w:tblHeader w:val="true"/>
        </w:trPr>
        <w:tc>
          <w:tcPr>
            <w:tcW w:type="dxa" w:w="9360"/>
            <w:tcMar>
              <w:top w:w="80" w:type="dxa"/>
              <w:start w:w="120" w:type="dxa"/>
              <w:bottom w:w="80" w:type="dxa"/>
              <w:end w:w="120" w:type="dxa"/>
            </w:tcMar>
            <w:vAlign w:val="center"/>
            <w:shd w:fill="F4F6F9"/>
          </w:tcPr>
          <w:p>
            <w:pPr>
              <w:spacing w:before="40" w:after="40"/>
            </w:pPr>
            <w:r>
              <w:rPr>
                <w:rFonts w:ascii="Calibri" w:hAnsi="Calibri"/>
                <w:b/>
                <w:color w:val="2E74B5"/>
              </w:rPr>
              <w:t xml:space="preserve">Research conclusion: </w:t>
            </w:r>
            <w:r>
              <w:t>DailyCart is technically viable and architecturally appropriate for a controlled pilot. Production launch should be gated on API contract completion, payment hardening, privacy/compliance implementation, and operational validation.</w:t>
            </w:r>
          </w:p>
        </w:tc>
      </w:tr>
    </w:tbl>
    <w:p>
      <w:pPr>
        <w:spacing w:after="40"/>
      </w:pPr>
    </w:p>
    <w:p>
      <w:pPr>
        <w:pStyle w:val="Heading1"/>
        <w:keepNext/>
      </w:pPr>
      <w:r>
        <w:t>1. Research Context</w:t>
      </w:r>
    </w:p>
    <w:p>
      <w:pPr>
        <w:pStyle w:val="Heading2"/>
        <w:keepNext/>
      </w:pPr>
      <w:r>
        <w:t>1.1 Problem Setting</w:t>
      </w:r>
    </w:p>
    <w:p>
      <w:pPr>
        <w:spacing w:before="0"/>
      </w:pPr>
      <w:r>
        <w:rPr>
          <w:rFonts w:ascii="Calibri" w:hAnsi="Calibri"/>
          <w:b w:val="0"/>
          <w:i w:val="0"/>
          <w:color w:val="000000"/>
          <w:sz w:val="22"/>
        </w:rPr>
        <w:t>Grocery delivery platforms coordinate short-lived stock, vendor ownership, geographic coverage, time-slot promises, last-mile handoff, payment uncertainty, refunds, consumer disclosures, and frequent status communication. A Sri Lankan platform also benefits from LKR-native pricing, local payment integration, district delivery logic, mobile-first access, and resilience to variable connectivity.</w:t>
      </w:r>
    </w:p>
    <w:p>
      <w:pPr>
        <w:spacing w:before="0"/>
      </w:pPr>
      <w:r>
        <w:rPr>
          <w:rFonts w:ascii="Calibri" w:hAnsi="Calibri"/>
          <w:b w:val="0"/>
          <w:i w:val="0"/>
          <w:color w:val="000000"/>
          <w:sz w:val="22"/>
        </w:rPr>
        <w:t>Sri Lanka's Department of Census and Statistics reported that 54.6 percent of the population aged 5-69 used the internet in 2024, and smartphones accounted for 80.3 percent of devices used to connect to internet or email [1]. A U.S. International Trade Administration guide reported significant local e-commerce growth and estimated that 43 percent of roughly 11 million internet users had made online purchases, while the Western Province accounted for around half of orders [2]. Central Bank reporting for 2025 recorded continued retail digital payment growth, with CEFTS representing 55 percent of retail payment value [3]. These indicators support demand but also make rollout geography, affordability, trust, and assisted recovery critical.</w:t>
      </w:r>
    </w:p>
    <w:p>
      <w:pPr>
        <w:pStyle w:val="Heading2"/>
        <w:keepNext/>
      </w:pPr>
      <w:r>
        <w:t>1.2 Research Objectives</w:t>
      </w:r>
    </w:p>
    <w:p>
      <w:pPr>
        <w:numPr>
          <w:ilvl w:val="0"/>
          <w:numId w:val="10"/>
        </w:numPr>
      </w:pPr>
      <w:r>
        <w:t>Determine whether the selected architecture fits current scale and complexity.</w:t>
      </w:r>
    </w:p>
    <w:p>
      <w:pPr>
        <w:numPr>
          <w:ilvl w:val="0"/>
          <w:numId w:val="10"/>
        </w:numPr>
      </w:pPr>
      <w:r>
        <w:t>Assess feature breadth, transaction integrity, security, testing, and operations.</w:t>
      </w:r>
    </w:p>
    <w:p>
      <w:pPr>
        <w:numPr>
          <w:ilvl w:val="0"/>
          <w:numId w:val="10"/>
        </w:numPr>
      </w:pPr>
      <w:r>
        <w:t>Compare the Laravel web/API contract with Flutter expectations.</w:t>
      </w:r>
    </w:p>
    <w:p>
      <w:pPr>
        <w:numPr>
          <w:ilvl w:val="0"/>
          <w:numId w:val="10"/>
        </w:numPr>
      </w:pPr>
      <w:r>
        <w:t>Identify technical, operational, economic, legal, privacy, and delivery risks.</w:t>
      </w:r>
    </w:p>
    <w:p>
      <w:pPr>
        <w:numPr>
          <w:ilvl w:val="0"/>
          <w:numId w:val="10"/>
        </w:numPr>
      </w:pPr>
      <w:r>
        <w:t>Provide a prioritized roadmap and measurable pilot/production criteria.</w:t>
      </w:r>
    </w:p>
    <w:p>
      <w:pPr>
        <w:pStyle w:val="Heading2"/>
        <w:keepNext/>
      </w:pPr>
      <w:r>
        <w:t>1.3 Research Questions</w:t>
      </w:r>
    </w:p>
    <w:p>
      <w:pPr>
        <w:numPr>
          <w:ilvl w:val="0"/>
          <w:numId w:val="11"/>
        </w:numPr>
      </w:pPr>
      <w:r>
        <w:t>RQ1. Does the modular monolith support marketplace, payment, delivery, and administration?</w:t>
      </w:r>
    </w:p>
    <w:p>
      <w:pPr>
        <w:numPr>
          <w:ilvl w:val="0"/>
          <w:numId w:val="11"/>
        </w:numPr>
      </w:pPr>
      <w:r>
        <w:t>RQ2. Are commerce invariants protected against concurrency, ownership, and partial failure?</w:t>
      </w:r>
    </w:p>
    <w:p>
      <w:pPr>
        <w:numPr>
          <w:ilvl w:val="0"/>
          <w:numId w:val="11"/>
        </w:numPr>
      </w:pPr>
      <w:r>
        <w:t>RQ3. Is the mobile contract aligned with the backend API?</w:t>
      </w:r>
    </w:p>
    <w:p>
      <w:pPr>
        <w:numPr>
          <w:ilvl w:val="0"/>
          <w:numId w:val="11"/>
        </w:numPr>
      </w:pPr>
      <w:r>
        <w:t>RQ4. Which gaps block pilot or production launch?</w:t>
      </w:r>
    </w:p>
    <w:p>
      <w:pPr>
        <w:numPr>
          <w:ilvl w:val="0"/>
          <w:numId w:val="11"/>
        </w:numPr>
      </w:pPr>
      <w:r>
        <w:t>RQ5. What evidence would credibly demonstrate readiness?</w:t>
      </w:r>
    </w:p>
    <w:p>
      <w:pPr>
        <w:pStyle w:val="Heading1"/>
        <w:keepNext/>
      </w:pPr>
      <w:r>
        <w:t>2. Methodology</w:t>
      </w:r>
    </w:p>
    <w:p>
      <w:pPr>
        <w:spacing w:before="0"/>
      </w:pPr>
      <w:r>
        <w:rPr>
          <w:rFonts w:ascii="Calibri" w:hAnsi="Calibri"/>
          <w:b w:val="0"/>
          <w:i w:val="0"/>
          <w:color w:val="000000"/>
          <w:sz w:val="22"/>
        </w:rPr>
        <w:t>The study used a structured, evidence-led technical review. It did not infer completion from screen names or project guides alone. Where documentation and source disagreed, executable routes, migrations, services, policies, and tests were authoritative.</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700"/>
        <w:gridCol w:w="4700"/>
        <w:gridCol w:w="2960"/>
      </w:tblGrid>
      <w:tr>
        <w:trPr>
          <w:tblHeader w:val="true"/>
        </w:trPr>
        <w:tc>
          <w:tcPr>
            <w:tcW w:type="dxa" w:w="1700"/>
            <w:shd w:fill="F4F6F9"/>
            <w:tcMar>
              <w:top w:w="80" w:type="dxa"/>
              <w:start w:w="120" w:type="dxa"/>
              <w:bottom w:w="80" w:type="dxa"/>
              <w:end w:w="120" w:type="dxa"/>
            </w:tcMar>
            <w:vAlign w:val="center"/>
          </w:tcPr>
          <w:p>
            <w:pPr>
              <w:spacing w:before="0" w:after="0"/>
            </w:pPr>
            <w:r>
              <w:rPr>
                <w:rFonts w:ascii="Calibri" w:hAnsi="Calibri"/>
                <w:b/>
                <w:color w:val="0B2545"/>
                <w:sz w:val="17"/>
              </w:rPr>
              <w:t>Method</w:t>
            </w:r>
          </w:p>
        </w:tc>
        <w:tc>
          <w:tcPr>
            <w:tcW w:type="dxa" w:w="4700"/>
            <w:shd w:fill="F4F6F9"/>
            <w:tcMar>
              <w:top w:w="80" w:type="dxa"/>
              <w:start w:w="120" w:type="dxa"/>
              <w:bottom w:w="80" w:type="dxa"/>
              <w:end w:w="120" w:type="dxa"/>
            </w:tcMar>
            <w:vAlign w:val="center"/>
          </w:tcPr>
          <w:p>
            <w:pPr>
              <w:spacing w:before="0" w:after="0"/>
            </w:pPr>
            <w:r>
              <w:rPr>
                <w:rFonts w:ascii="Calibri" w:hAnsi="Calibri"/>
                <w:b/>
                <w:color w:val="0B2545"/>
                <w:sz w:val="17"/>
              </w:rPr>
              <w:t>Evidence</w:t>
            </w:r>
          </w:p>
        </w:tc>
        <w:tc>
          <w:tcPr>
            <w:tcW w:type="dxa" w:w="2960"/>
            <w:shd w:fill="F4F6F9"/>
            <w:tcMar>
              <w:top w:w="80" w:type="dxa"/>
              <w:start w:w="120" w:type="dxa"/>
              <w:bottom w:w="80" w:type="dxa"/>
              <w:end w:w="120" w:type="dxa"/>
            </w:tcMar>
            <w:vAlign w:val="center"/>
          </w:tcPr>
          <w:p>
            <w:pPr>
              <w:spacing w:before="0" w:after="0"/>
            </w:pPr>
            <w:r>
              <w:rPr>
                <w:rFonts w:ascii="Calibri" w:hAnsi="Calibri"/>
                <w:b/>
                <w:color w:val="0B2545"/>
                <w:sz w:val="17"/>
              </w:rPr>
              <w:t>Purpose</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Repository inventory</w:t>
            </w:r>
          </w:p>
        </w:tc>
        <w:tc>
          <w:tcPr>
            <w:tcW w:type="dxa" w:w="4700"/>
            <w:tcMar>
              <w:top w:w="80" w:type="dxa"/>
              <w:start w:w="120" w:type="dxa"/>
              <w:bottom w:w="80" w:type="dxa"/>
              <w:end w:w="120" w:type="dxa"/>
            </w:tcMar>
            <w:vAlign w:val="center"/>
          </w:tcPr>
          <w:p>
            <w:pPr>
              <w:spacing w:before="0" w:after="0" w:line="252" w:lineRule="auto"/>
            </w:pPr>
            <w:r>
              <w:rPr>
                <w:rFonts w:ascii="Calibri" w:hAnsi="Calibri"/>
                <w:color w:val="000000"/>
                <w:sz w:val="17"/>
              </w:rPr>
              <w:t>51 models, 91 controllers, 35 services, 18 policies, 35 requests, 26 notifications, 189 Blade views, 227 Dart files</w:t>
            </w:r>
          </w:p>
        </w:tc>
        <w:tc>
          <w:tcPr>
            <w:tcW w:type="dxa" w:w="2960"/>
            <w:tcMar>
              <w:top w:w="80" w:type="dxa"/>
              <w:start w:w="120" w:type="dxa"/>
              <w:bottom w:w="80" w:type="dxa"/>
              <w:end w:w="120" w:type="dxa"/>
            </w:tcMar>
            <w:vAlign w:val="center"/>
          </w:tcPr>
          <w:p>
            <w:pPr>
              <w:spacing w:before="0" w:after="0" w:line="252" w:lineRule="auto"/>
            </w:pPr>
            <w:r>
              <w:rPr>
                <w:rFonts w:ascii="Calibri" w:hAnsi="Calibri"/>
                <w:color w:val="000000"/>
                <w:sz w:val="17"/>
              </w:rPr>
              <w:t>Estimate scope and architecture</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Contract inventory</w:t>
            </w:r>
          </w:p>
        </w:tc>
        <w:tc>
          <w:tcPr>
            <w:tcW w:type="dxa" w:w="4700"/>
            <w:tcMar>
              <w:top w:w="80" w:type="dxa"/>
              <w:start w:w="120" w:type="dxa"/>
              <w:bottom w:w="80" w:type="dxa"/>
              <w:end w:w="120" w:type="dxa"/>
            </w:tcMar>
            <w:vAlign w:val="center"/>
          </w:tcPr>
          <w:p>
            <w:pPr>
              <w:spacing w:before="0" w:after="0" w:line="252" w:lineRule="auto"/>
            </w:pPr>
            <w:r>
              <w:rPr>
                <w:rFonts w:ascii="Calibri" w:hAnsi="Calibri"/>
                <w:color w:val="000000"/>
                <w:sz w:val="17"/>
              </w:rPr>
              <w:t>298 Laravel routes, 27 API routes; Flutter service paths</w:t>
            </w:r>
          </w:p>
        </w:tc>
        <w:tc>
          <w:tcPr>
            <w:tcW w:type="dxa" w:w="2960"/>
            <w:tcMar>
              <w:top w:w="80" w:type="dxa"/>
              <w:start w:w="120" w:type="dxa"/>
              <w:bottom w:w="80" w:type="dxa"/>
              <w:end w:w="120" w:type="dxa"/>
            </w:tcMar>
            <w:vAlign w:val="center"/>
          </w:tcPr>
          <w:p>
            <w:pPr>
              <w:spacing w:before="0" w:after="0" w:line="252" w:lineRule="auto"/>
            </w:pPr>
            <w:r>
              <w:rPr>
                <w:rFonts w:ascii="Calibri" w:hAnsi="Calibri"/>
                <w:color w:val="000000"/>
                <w:sz w:val="17"/>
              </w:rPr>
              <w:t>Compare server and client</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Rule tracing</w:t>
            </w:r>
          </w:p>
        </w:tc>
        <w:tc>
          <w:tcPr>
            <w:tcW w:type="dxa" w:w="4700"/>
            <w:tcMar>
              <w:top w:w="80" w:type="dxa"/>
              <w:start w:w="120" w:type="dxa"/>
              <w:bottom w:w="80" w:type="dxa"/>
              <w:end w:w="120" w:type="dxa"/>
            </w:tcMar>
            <w:vAlign w:val="center"/>
          </w:tcPr>
          <w:p>
            <w:pPr>
              <w:spacing w:before="0" w:after="0" w:line="252" w:lineRule="auto"/>
            </w:pPr>
            <w:r>
              <w:rPr>
                <w:rFonts w:ascii="Calibri" w:hAnsi="Calibri"/>
                <w:color w:val="000000"/>
                <w:sz w:val="17"/>
              </w:rPr>
              <w:t>Cart, order, payment, wallet, refund, delivery, promotion, loyalty, subscription, notification, backup services</w:t>
            </w:r>
          </w:p>
        </w:tc>
        <w:tc>
          <w:tcPr>
            <w:tcW w:type="dxa" w:w="2960"/>
            <w:tcMar>
              <w:top w:w="80" w:type="dxa"/>
              <w:start w:w="120" w:type="dxa"/>
              <w:bottom w:w="80" w:type="dxa"/>
              <w:end w:w="120" w:type="dxa"/>
            </w:tcMar>
            <w:vAlign w:val="center"/>
          </w:tcPr>
          <w:p>
            <w:pPr>
              <w:spacing w:before="0" w:after="0" w:line="252" w:lineRule="auto"/>
            </w:pPr>
            <w:r>
              <w:rPr>
                <w:rFonts w:ascii="Calibri" w:hAnsi="Calibri"/>
                <w:color w:val="000000"/>
                <w:sz w:val="17"/>
              </w:rPr>
              <w:t>Validate state invariants</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Data review</w:t>
            </w:r>
          </w:p>
        </w:tc>
        <w:tc>
          <w:tcPr>
            <w:tcW w:type="dxa" w:w="4700"/>
            <w:tcMar>
              <w:top w:w="80" w:type="dxa"/>
              <w:start w:w="120" w:type="dxa"/>
              <w:bottom w:w="80" w:type="dxa"/>
              <w:end w:w="120" w:type="dxa"/>
            </w:tcMar>
            <w:vAlign w:val="center"/>
          </w:tcPr>
          <w:p>
            <w:pPr>
              <w:spacing w:before="0" w:after="0" w:line="252" w:lineRule="auto"/>
            </w:pPr>
            <w:r>
              <w:rPr>
                <w:rFonts w:ascii="Calibri" w:hAnsi="Calibri"/>
                <w:color w:val="000000"/>
                <w:sz w:val="17"/>
              </w:rPr>
              <w:t>Migrations, relationships, indexes, statuses, money, queues, logs, backups</w:t>
            </w:r>
          </w:p>
        </w:tc>
        <w:tc>
          <w:tcPr>
            <w:tcW w:type="dxa" w:w="2960"/>
            <w:tcMar>
              <w:top w:w="80" w:type="dxa"/>
              <w:start w:w="120" w:type="dxa"/>
              <w:bottom w:w="80" w:type="dxa"/>
              <w:end w:w="120" w:type="dxa"/>
            </w:tcMar>
            <w:vAlign w:val="center"/>
          </w:tcPr>
          <w:p>
            <w:pPr>
              <w:spacing w:before="0" w:after="0" w:line="252" w:lineRule="auto"/>
            </w:pPr>
            <w:r>
              <w:rPr>
                <w:rFonts w:ascii="Calibri" w:hAnsi="Calibri"/>
                <w:color w:val="000000"/>
                <w:sz w:val="17"/>
              </w:rPr>
              <w:t>Assess integrity/operations</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Verification</w:t>
            </w:r>
          </w:p>
        </w:tc>
        <w:tc>
          <w:tcPr>
            <w:tcW w:type="dxa" w:w="4700"/>
            <w:tcMar>
              <w:top w:w="80" w:type="dxa"/>
              <w:start w:w="120" w:type="dxa"/>
              <w:bottom w:w="80" w:type="dxa"/>
              <w:end w:w="120" w:type="dxa"/>
            </w:tcMar>
            <w:vAlign w:val="center"/>
          </w:tcPr>
          <w:p>
            <w:pPr>
              <w:spacing w:before="0" w:after="0" w:line="252" w:lineRule="auto"/>
            </w:pPr>
            <w:r>
              <w:rPr>
                <w:rFonts w:ascii="Calibri" w:hAnsi="Calibri"/>
                <w:color w:val="000000"/>
                <w:sz w:val="17"/>
              </w:rPr>
              <w:t>PHPUnit suite and Vite build</w:t>
            </w:r>
          </w:p>
        </w:tc>
        <w:tc>
          <w:tcPr>
            <w:tcW w:type="dxa" w:w="2960"/>
            <w:tcMar>
              <w:top w:w="80" w:type="dxa"/>
              <w:start w:w="120" w:type="dxa"/>
              <w:bottom w:w="80" w:type="dxa"/>
              <w:end w:w="120" w:type="dxa"/>
            </w:tcMar>
            <w:vAlign w:val="center"/>
          </w:tcPr>
          <w:p>
            <w:pPr>
              <w:spacing w:before="0" w:after="0" w:line="252" w:lineRule="auto"/>
            </w:pPr>
            <w:r>
              <w:rPr>
                <w:rFonts w:ascii="Calibri" w:hAnsi="Calibri"/>
                <w:color w:val="000000"/>
                <w:sz w:val="17"/>
              </w:rPr>
              <w:t>Measure executable evidence</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7"/>
              </w:rPr>
              <w:t>External comparison</w:t>
            </w:r>
          </w:p>
        </w:tc>
        <w:tc>
          <w:tcPr>
            <w:tcW w:type="dxa" w:w="4700"/>
            <w:tcMar>
              <w:top w:w="80" w:type="dxa"/>
              <w:start w:w="120" w:type="dxa"/>
              <w:bottom w:w="80" w:type="dxa"/>
              <w:end w:w="120" w:type="dxa"/>
            </w:tcMar>
            <w:vAlign w:val="center"/>
          </w:tcPr>
          <w:p>
            <w:pPr>
              <w:spacing w:before="0" w:after="0" w:line="252" w:lineRule="auto"/>
            </w:pPr>
            <w:r>
              <w:rPr>
                <w:rFonts w:ascii="Calibri" w:hAnsi="Calibri"/>
                <w:color w:val="000000"/>
                <w:sz w:val="17"/>
              </w:rPr>
              <w:t>Official technical, market, payment, mapping, security, and regulatory sources</w:t>
            </w:r>
          </w:p>
        </w:tc>
        <w:tc>
          <w:tcPr>
            <w:tcW w:type="dxa" w:w="2960"/>
            <w:tcMar>
              <w:top w:w="80" w:type="dxa"/>
              <w:start w:w="120" w:type="dxa"/>
              <w:bottom w:w="80" w:type="dxa"/>
              <w:end w:w="120" w:type="dxa"/>
            </w:tcMar>
            <w:vAlign w:val="center"/>
          </w:tcPr>
          <w:p>
            <w:pPr>
              <w:spacing w:before="0" w:after="0" w:line="252" w:lineRule="auto"/>
            </w:pPr>
            <w:r>
              <w:rPr>
                <w:rFonts w:ascii="Calibri" w:hAnsi="Calibri"/>
                <w:color w:val="000000"/>
                <w:sz w:val="17"/>
              </w:rPr>
              <w:t>Benchmark decisions</w:t>
            </w:r>
          </w:p>
        </w:tc>
      </w:tr>
    </w:tbl>
    <w:p>
      <w:pPr>
        <w:spacing w:after="40"/>
      </w:pPr>
    </w:p>
    <w:p>
      <w:pPr>
        <w:spacing w:before="0"/>
      </w:pPr>
      <w:r>
        <w:rPr>
          <w:rFonts w:ascii="Calibri" w:hAnsi="Calibri"/>
          <w:b w:val="0"/>
          <w:i w:val="0"/>
          <w:color w:val="000000"/>
          <w:sz w:val="22"/>
        </w:rPr>
        <w:t>Limitations: no production traffic, live PayHere merchant, live Maps credentials, signed mobile pipeline, penetration test, assistive-technology test, or legal opinion was available. The Flutter CLI could not be verified locally. Readiness scores are analytical, not certification.</w:t>
      </w:r>
    </w:p>
    <w:p>
      <w:pPr>
        <w:pStyle w:val="Heading1"/>
        <w:keepNext/>
      </w:pPr>
      <w:r>
        <w:t>3. System Under Study</w:t>
      </w:r>
    </w:p>
    <w:p>
      <w:pPr>
        <w:spacing w:before="100" w:after="40"/>
        <w:jc w:val="center"/>
      </w:pPr>
      <w:r>
        <w:drawing>
          <wp:inline xmlns:a="http://schemas.openxmlformats.org/drawingml/2006/main" xmlns:pic="http://schemas.openxmlformats.org/drawingml/2006/picture">
            <wp:extent cx="5715000" cy="3175000"/>
            <wp:docPr id="1" name="Picture 1" descr="Figure 1. Current-state DailyCart architecture derived from the repository." title="Figure 1"/>
            <wp:cNvGraphicFramePr>
              <a:graphicFrameLocks noChangeAspect="1"/>
            </wp:cNvGraphicFramePr>
            <a:graphic>
              <a:graphicData uri="http://schemas.openxmlformats.org/drawingml/2006/picture">
                <pic:pic>
                  <pic:nvPicPr>
                    <pic:cNvPr id="0" name="dailycart_architecture.png"/>
                    <pic:cNvPicPr/>
                  </pic:nvPicPr>
                  <pic:blipFill>
                    <a:blip r:embed="rId13"/>
                    <a:stretch>
                      <a:fillRect/>
                    </a:stretch>
                  </pic:blipFill>
                  <pic:spPr>
                    <a:xfrm>
                      <a:off x="0" y="0"/>
                      <a:ext cx="5715000" cy="3175000"/>
                    </a:xfrm>
                    <a:prstGeom prst="rect"/>
                  </pic:spPr>
                </pic:pic>
              </a:graphicData>
            </a:graphic>
          </wp:inline>
        </w:drawing>
      </w:r>
    </w:p>
    <w:p>
      <w:pPr>
        <w:pStyle w:val="Caption"/>
        <w:jc w:val="center"/>
      </w:pPr>
      <w:r>
        <w:t>Figure 1. Current-state DailyCart architecture derived from the repository.</w:t>
      </w:r>
    </w:p>
    <w:p>
      <w:pPr>
        <w:pStyle w:val="Heading2"/>
        <w:keepNext/>
      </w:pPr>
      <w:r>
        <w:t>3.1 Technology Profile</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500"/>
        <w:gridCol w:w="2600"/>
        <w:gridCol w:w="5260"/>
      </w:tblGrid>
      <w:tr>
        <w:trPr>
          <w:tblHeader w:val="true"/>
        </w:trPr>
        <w:tc>
          <w:tcPr>
            <w:tcW w:type="dxa" w:w="1500"/>
            <w:shd w:fill="F4F6F9"/>
            <w:tcMar>
              <w:top w:w="80" w:type="dxa"/>
              <w:start w:w="120" w:type="dxa"/>
              <w:bottom w:w="80" w:type="dxa"/>
              <w:end w:w="120" w:type="dxa"/>
            </w:tcMar>
            <w:vAlign w:val="center"/>
          </w:tcPr>
          <w:p>
            <w:pPr>
              <w:spacing w:before="0" w:after="0"/>
            </w:pPr>
            <w:r>
              <w:rPr>
                <w:rFonts w:ascii="Calibri" w:hAnsi="Calibri"/>
                <w:b/>
                <w:color w:val="0B2545"/>
                <w:sz w:val="18"/>
              </w:rPr>
              <w:t>Layer</w:t>
            </w:r>
          </w:p>
        </w:tc>
        <w:tc>
          <w:tcPr>
            <w:tcW w:type="dxa" w:w="2600"/>
            <w:shd w:fill="F4F6F9"/>
            <w:tcMar>
              <w:top w:w="80" w:type="dxa"/>
              <w:start w:w="120" w:type="dxa"/>
              <w:bottom w:w="80" w:type="dxa"/>
              <w:end w:w="120" w:type="dxa"/>
            </w:tcMar>
            <w:vAlign w:val="center"/>
          </w:tcPr>
          <w:p>
            <w:pPr>
              <w:spacing w:before="0" w:after="0"/>
            </w:pPr>
            <w:r>
              <w:rPr>
                <w:rFonts w:ascii="Calibri" w:hAnsi="Calibri"/>
                <w:b/>
                <w:color w:val="0B2545"/>
                <w:sz w:val="18"/>
              </w:rPr>
              <w:t>Technology</w:t>
            </w:r>
          </w:p>
        </w:tc>
        <w:tc>
          <w:tcPr>
            <w:tcW w:type="dxa" w:w="5260"/>
            <w:shd w:fill="F4F6F9"/>
            <w:tcMar>
              <w:top w:w="80" w:type="dxa"/>
              <w:start w:w="120" w:type="dxa"/>
              <w:bottom w:w="80" w:type="dxa"/>
              <w:end w:w="120" w:type="dxa"/>
            </w:tcMar>
            <w:vAlign w:val="center"/>
          </w:tcPr>
          <w:p>
            <w:pPr>
              <w:spacing w:before="0" w:after="0"/>
            </w:pPr>
            <w:r>
              <w:rPr>
                <w:rFonts w:ascii="Calibri" w:hAnsi="Calibri"/>
                <w:b/>
                <w:color w:val="0B2545"/>
                <w:sz w:val="18"/>
              </w:rPr>
              <w:t>Observed role</w:t>
            </w:r>
          </w:p>
        </w:tc>
      </w:tr>
      <w:tr>
        <w:tc>
          <w:tcPr>
            <w:tcW w:type="dxa" w:w="1500"/>
            <w:tcMar>
              <w:top w:w="80" w:type="dxa"/>
              <w:start w:w="120" w:type="dxa"/>
              <w:bottom w:w="80" w:type="dxa"/>
              <w:end w:w="120" w:type="dxa"/>
            </w:tcMar>
            <w:vAlign w:val="center"/>
          </w:tcPr>
          <w:p>
            <w:pPr>
              <w:spacing w:before="0" w:after="0" w:line="252" w:lineRule="auto"/>
            </w:pPr>
            <w:r>
              <w:rPr>
                <w:rFonts w:ascii="Calibri" w:hAnsi="Calibri"/>
                <w:color w:val="000000"/>
                <w:sz w:val="18"/>
              </w:rPr>
              <w:t>Backend</w:t>
            </w:r>
          </w:p>
        </w:tc>
        <w:tc>
          <w:tcPr>
            <w:tcW w:type="dxa" w:w="2600"/>
            <w:tcMar>
              <w:top w:w="80" w:type="dxa"/>
              <w:start w:w="120" w:type="dxa"/>
              <w:bottom w:w="80" w:type="dxa"/>
              <w:end w:w="120" w:type="dxa"/>
            </w:tcMar>
            <w:vAlign w:val="center"/>
          </w:tcPr>
          <w:p>
            <w:pPr>
              <w:spacing w:before="0" w:after="0" w:line="252" w:lineRule="auto"/>
            </w:pPr>
            <w:r>
              <w:rPr>
                <w:rFonts w:ascii="Calibri" w:hAnsi="Calibri"/>
                <w:color w:val="000000"/>
                <w:sz w:val="18"/>
              </w:rPr>
              <w:t>PHP 8.2+, Laravel 12.64.0</w:t>
            </w:r>
          </w:p>
        </w:tc>
        <w:tc>
          <w:tcPr>
            <w:tcW w:type="dxa" w:w="5260"/>
            <w:tcMar>
              <w:top w:w="80" w:type="dxa"/>
              <w:start w:w="120" w:type="dxa"/>
              <w:bottom w:w="80" w:type="dxa"/>
              <w:end w:w="120" w:type="dxa"/>
            </w:tcMar>
            <w:vAlign w:val="center"/>
          </w:tcPr>
          <w:p>
            <w:pPr>
              <w:spacing w:before="0" w:after="0" w:line="252" w:lineRule="auto"/>
            </w:pPr>
            <w:r>
              <w:rPr>
                <w:rFonts w:ascii="Calibri" w:hAnsi="Calibri"/>
                <w:color w:val="000000"/>
                <w:sz w:val="18"/>
              </w:rPr>
              <w:t>Routing, validation, policies, services, ORM, queues, scheduler, notifications</w:t>
            </w:r>
          </w:p>
        </w:tc>
      </w:tr>
      <w:tr>
        <w:tc>
          <w:tcPr>
            <w:tcW w:type="dxa" w:w="1500"/>
            <w:tcMar>
              <w:top w:w="80" w:type="dxa"/>
              <w:start w:w="120" w:type="dxa"/>
              <w:bottom w:w="80" w:type="dxa"/>
              <w:end w:w="120" w:type="dxa"/>
            </w:tcMar>
            <w:vAlign w:val="center"/>
          </w:tcPr>
          <w:p>
            <w:pPr>
              <w:spacing w:before="0" w:after="0" w:line="252" w:lineRule="auto"/>
            </w:pPr>
            <w:r>
              <w:rPr>
                <w:rFonts w:ascii="Calibri" w:hAnsi="Calibri"/>
                <w:color w:val="000000"/>
                <w:sz w:val="18"/>
              </w:rPr>
              <w:t>Web</w:t>
            </w:r>
          </w:p>
        </w:tc>
        <w:tc>
          <w:tcPr>
            <w:tcW w:type="dxa" w:w="2600"/>
            <w:tcMar>
              <w:top w:w="80" w:type="dxa"/>
              <w:start w:w="120" w:type="dxa"/>
              <w:bottom w:w="80" w:type="dxa"/>
              <w:end w:w="120" w:type="dxa"/>
            </w:tcMar>
            <w:vAlign w:val="center"/>
          </w:tcPr>
          <w:p>
            <w:pPr>
              <w:spacing w:before="0" w:after="0" w:line="252" w:lineRule="auto"/>
            </w:pPr>
            <w:r>
              <w:rPr>
                <w:rFonts w:ascii="Calibri" w:hAnsi="Calibri"/>
                <w:color w:val="000000"/>
                <w:sz w:val="18"/>
              </w:rPr>
              <w:t>Blade, Tailwind, Alpine, Axios, Vite</w:t>
            </w:r>
          </w:p>
        </w:tc>
        <w:tc>
          <w:tcPr>
            <w:tcW w:type="dxa" w:w="5260"/>
            <w:tcMar>
              <w:top w:w="80" w:type="dxa"/>
              <w:start w:w="120" w:type="dxa"/>
              <w:bottom w:w="80" w:type="dxa"/>
              <w:end w:w="120" w:type="dxa"/>
            </w:tcMar>
            <w:vAlign w:val="center"/>
          </w:tcPr>
          <w:p>
            <w:pPr>
              <w:spacing w:before="0" w:after="0" w:line="252" w:lineRule="auto"/>
            </w:pPr>
            <w:r>
              <w:rPr>
                <w:rFonts w:ascii="Calibri" w:hAnsi="Calibri"/>
                <w:color w:val="000000"/>
                <w:sz w:val="18"/>
              </w:rPr>
              <w:t>Responsive public and role dashboards</w:t>
            </w:r>
          </w:p>
        </w:tc>
      </w:tr>
      <w:tr>
        <w:tc>
          <w:tcPr>
            <w:tcW w:type="dxa" w:w="1500"/>
            <w:tcMar>
              <w:top w:w="80" w:type="dxa"/>
              <w:start w:w="120" w:type="dxa"/>
              <w:bottom w:w="80" w:type="dxa"/>
              <w:end w:w="120" w:type="dxa"/>
            </w:tcMar>
            <w:vAlign w:val="center"/>
          </w:tcPr>
          <w:p>
            <w:pPr>
              <w:spacing w:before="0" w:after="0" w:line="252" w:lineRule="auto"/>
            </w:pPr>
            <w:r>
              <w:rPr>
                <w:rFonts w:ascii="Calibri" w:hAnsi="Calibri"/>
                <w:color w:val="000000"/>
                <w:sz w:val="18"/>
              </w:rPr>
              <w:t>Data</w:t>
            </w:r>
          </w:p>
        </w:tc>
        <w:tc>
          <w:tcPr>
            <w:tcW w:type="dxa" w:w="2600"/>
            <w:tcMar>
              <w:top w:w="80" w:type="dxa"/>
              <w:start w:w="120" w:type="dxa"/>
              <w:bottom w:w="80" w:type="dxa"/>
              <w:end w:w="120" w:type="dxa"/>
            </w:tcMar>
            <w:vAlign w:val="center"/>
          </w:tcPr>
          <w:p>
            <w:pPr>
              <w:spacing w:before="0" w:after="0" w:line="252" w:lineRule="auto"/>
            </w:pPr>
            <w:r>
              <w:rPr>
                <w:rFonts w:ascii="Calibri" w:hAnsi="Calibri"/>
                <w:color w:val="000000"/>
                <w:sz w:val="18"/>
              </w:rPr>
              <w:t>MySQL 8</w:t>
            </w:r>
          </w:p>
        </w:tc>
        <w:tc>
          <w:tcPr>
            <w:tcW w:type="dxa" w:w="5260"/>
            <w:tcMar>
              <w:top w:w="80" w:type="dxa"/>
              <w:start w:w="120" w:type="dxa"/>
              <w:bottom w:w="80" w:type="dxa"/>
              <w:end w:w="120" w:type="dxa"/>
            </w:tcMar>
            <w:vAlign w:val="center"/>
          </w:tcPr>
          <w:p>
            <w:pPr>
              <w:spacing w:before="0" w:after="0" w:line="252" w:lineRule="auto"/>
            </w:pPr>
            <w:r>
              <w:rPr>
                <w:rFonts w:ascii="Calibri" w:hAnsi="Calibri"/>
                <w:color w:val="000000"/>
                <w:sz w:val="18"/>
              </w:rPr>
              <w:t>Transactional marketplace and operational persistence</w:t>
            </w:r>
          </w:p>
        </w:tc>
      </w:tr>
      <w:tr>
        <w:tc>
          <w:tcPr>
            <w:tcW w:type="dxa" w:w="1500"/>
            <w:tcMar>
              <w:top w:w="80" w:type="dxa"/>
              <w:start w:w="120" w:type="dxa"/>
              <w:bottom w:w="80" w:type="dxa"/>
              <w:end w:w="120" w:type="dxa"/>
            </w:tcMar>
            <w:vAlign w:val="center"/>
          </w:tcPr>
          <w:p>
            <w:pPr>
              <w:spacing w:before="0" w:after="0" w:line="252" w:lineRule="auto"/>
            </w:pPr>
            <w:r>
              <w:rPr>
                <w:rFonts w:ascii="Calibri" w:hAnsi="Calibri"/>
                <w:color w:val="000000"/>
                <w:sz w:val="18"/>
              </w:rPr>
              <w:t>API auth</w:t>
            </w:r>
          </w:p>
        </w:tc>
        <w:tc>
          <w:tcPr>
            <w:tcW w:type="dxa" w:w="2600"/>
            <w:tcMar>
              <w:top w:w="80" w:type="dxa"/>
              <w:start w:w="120" w:type="dxa"/>
              <w:bottom w:w="80" w:type="dxa"/>
              <w:end w:w="120" w:type="dxa"/>
            </w:tcMar>
            <w:vAlign w:val="center"/>
          </w:tcPr>
          <w:p>
            <w:pPr>
              <w:spacing w:before="0" w:after="0" w:line="252" w:lineRule="auto"/>
            </w:pPr>
            <w:r>
              <w:rPr>
                <w:rFonts w:ascii="Calibri" w:hAnsi="Calibri"/>
                <w:color w:val="000000"/>
                <w:sz w:val="18"/>
              </w:rPr>
              <w:t>Laravel Sanctum 4</w:t>
            </w:r>
          </w:p>
        </w:tc>
        <w:tc>
          <w:tcPr>
            <w:tcW w:type="dxa" w:w="5260"/>
            <w:tcMar>
              <w:top w:w="80" w:type="dxa"/>
              <w:start w:w="120" w:type="dxa"/>
              <w:bottom w:w="80" w:type="dxa"/>
              <w:end w:w="120" w:type="dxa"/>
            </w:tcMar>
            <w:vAlign w:val="center"/>
          </w:tcPr>
          <w:p>
            <w:pPr>
              <w:spacing w:before="0" w:after="0" w:line="252" w:lineRule="auto"/>
            </w:pPr>
            <w:r>
              <w:rPr>
                <w:rFonts w:ascii="Calibri" w:hAnsi="Calibri"/>
                <w:color w:val="000000"/>
                <w:sz w:val="18"/>
              </w:rPr>
              <w:t>Expiring bearer tokens and abilities</w:t>
            </w:r>
          </w:p>
        </w:tc>
      </w:tr>
      <w:tr>
        <w:tc>
          <w:tcPr>
            <w:tcW w:type="dxa" w:w="1500"/>
            <w:tcMar>
              <w:top w:w="80" w:type="dxa"/>
              <w:start w:w="120" w:type="dxa"/>
              <w:bottom w:w="80" w:type="dxa"/>
              <w:end w:w="120" w:type="dxa"/>
            </w:tcMar>
            <w:vAlign w:val="center"/>
          </w:tcPr>
          <w:p>
            <w:pPr>
              <w:spacing w:before="0" w:after="0" w:line="252" w:lineRule="auto"/>
            </w:pPr>
            <w:r>
              <w:rPr>
                <w:rFonts w:ascii="Calibri" w:hAnsi="Calibri"/>
                <w:color w:val="000000"/>
                <w:sz w:val="18"/>
              </w:rPr>
              <w:t>RBAC</w:t>
            </w:r>
          </w:p>
        </w:tc>
        <w:tc>
          <w:tcPr>
            <w:tcW w:type="dxa" w:w="2600"/>
            <w:tcMar>
              <w:top w:w="80" w:type="dxa"/>
              <w:start w:w="120" w:type="dxa"/>
              <w:bottom w:w="80" w:type="dxa"/>
              <w:end w:w="120" w:type="dxa"/>
            </w:tcMar>
            <w:vAlign w:val="center"/>
          </w:tcPr>
          <w:p>
            <w:pPr>
              <w:spacing w:before="0" w:after="0" w:line="252" w:lineRule="auto"/>
            </w:pPr>
            <w:r>
              <w:rPr>
                <w:rFonts w:ascii="Calibri" w:hAnsi="Calibri"/>
                <w:color w:val="000000"/>
                <w:sz w:val="18"/>
              </w:rPr>
              <w:t>Spatie Permission 6</w:t>
            </w:r>
          </w:p>
        </w:tc>
        <w:tc>
          <w:tcPr>
            <w:tcW w:type="dxa" w:w="5260"/>
            <w:tcMar>
              <w:top w:w="80" w:type="dxa"/>
              <w:start w:w="120" w:type="dxa"/>
              <w:bottom w:w="80" w:type="dxa"/>
              <w:end w:w="120" w:type="dxa"/>
            </w:tcMar>
            <w:vAlign w:val="center"/>
          </w:tcPr>
          <w:p>
            <w:pPr>
              <w:spacing w:before="0" w:after="0" w:line="252" w:lineRule="auto"/>
            </w:pPr>
            <w:r>
              <w:rPr>
                <w:rFonts w:ascii="Calibri" w:hAnsi="Calibri"/>
                <w:color w:val="000000"/>
                <w:sz w:val="18"/>
              </w:rPr>
              <w:t>Roles/permissions with middleware and policies</w:t>
            </w:r>
          </w:p>
        </w:tc>
      </w:tr>
      <w:tr>
        <w:tc>
          <w:tcPr>
            <w:tcW w:type="dxa" w:w="1500"/>
            <w:tcMar>
              <w:top w:w="80" w:type="dxa"/>
              <w:start w:w="120" w:type="dxa"/>
              <w:bottom w:w="80" w:type="dxa"/>
              <w:end w:w="120" w:type="dxa"/>
            </w:tcMar>
            <w:vAlign w:val="center"/>
          </w:tcPr>
          <w:p>
            <w:pPr>
              <w:spacing w:before="0" w:after="0" w:line="252" w:lineRule="auto"/>
            </w:pPr>
            <w:r>
              <w:rPr>
                <w:rFonts w:ascii="Calibri" w:hAnsi="Calibri"/>
                <w:color w:val="000000"/>
                <w:sz w:val="18"/>
              </w:rPr>
              <w:t>Mobile</w:t>
            </w:r>
          </w:p>
        </w:tc>
        <w:tc>
          <w:tcPr>
            <w:tcW w:type="dxa" w:w="2600"/>
            <w:tcMar>
              <w:top w:w="80" w:type="dxa"/>
              <w:start w:w="120" w:type="dxa"/>
              <w:bottom w:w="80" w:type="dxa"/>
              <w:end w:w="120" w:type="dxa"/>
            </w:tcMar>
            <w:vAlign w:val="center"/>
          </w:tcPr>
          <w:p>
            <w:pPr>
              <w:spacing w:before="0" w:after="0" w:line="252" w:lineRule="auto"/>
            </w:pPr>
            <w:r>
              <w:rPr>
                <w:rFonts w:ascii="Calibri" w:hAnsi="Calibri"/>
                <w:color w:val="000000"/>
                <w:sz w:val="18"/>
              </w:rPr>
              <w:t>Flutter/Dart, Riverpod, Dio, GoRouter</w:t>
            </w:r>
          </w:p>
        </w:tc>
        <w:tc>
          <w:tcPr>
            <w:tcW w:type="dxa" w:w="5260"/>
            <w:tcMar>
              <w:top w:w="80" w:type="dxa"/>
              <w:start w:w="120" w:type="dxa"/>
              <w:bottom w:w="80" w:type="dxa"/>
              <w:end w:w="120" w:type="dxa"/>
            </w:tcMar>
            <w:vAlign w:val="center"/>
          </w:tcPr>
          <w:p>
            <w:pPr>
              <w:spacing w:before="0" w:after="0" w:line="252" w:lineRule="auto"/>
            </w:pPr>
            <w:r>
              <w:rPr>
                <w:rFonts w:ascii="Calibri" w:hAnsi="Calibri"/>
                <w:color w:val="000000"/>
                <w:sz w:val="18"/>
              </w:rPr>
              <w:t>Customer/vendor/rider screens and services</w:t>
            </w:r>
          </w:p>
        </w:tc>
      </w:tr>
      <w:tr>
        <w:tc>
          <w:tcPr>
            <w:tcW w:type="dxa" w:w="1500"/>
            <w:tcMar>
              <w:top w:w="80" w:type="dxa"/>
              <w:start w:w="120" w:type="dxa"/>
              <w:bottom w:w="80" w:type="dxa"/>
              <w:end w:w="120" w:type="dxa"/>
            </w:tcMar>
            <w:vAlign w:val="center"/>
          </w:tcPr>
          <w:p>
            <w:pPr>
              <w:spacing w:before="0" w:after="0" w:line="252" w:lineRule="auto"/>
            </w:pPr>
            <w:r>
              <w:rPr>
                <w:rFonts w:ascii="Calibri" w:hAnsi="Calibri"/>
                <w:color w:val="000000"/>
                <w:sz w:val="18"/>
              </w:rPr>
              <w:t>Integrations</w:t>
            </w:r>
          </w:p>
        </w:tc>
        <w:tc>
          <w:tcPr>
            <w:tcW w:type="dxa" w:w="2600"/>
            <w:tcMar>
              <w:top w:w="80" w:type="dxa"/>
              <w:start w:w="120" w:type="dxa"/>
              <w:bottom w:w="80" w:type="dxa"/>
              <w:end w:w="120" w:type="dxa"/>
            </w:tcMar>
            <w:vAlign w:val="center"/>
          </w:tcPr>
          <w:p>
            <w:pPr>
              <w:spacing w:before="0" w:after="0" w:line="252" w:lineRule="auto"/>
            </w:pPr>
            <w:r>
              <w:rPr>
                <w:rFonts w:ascii="Calibri" w:hAnsi="Calibri"/>
                <w:color w:val="000000"/>
                <w:sz w:val="18"/>
              </w:rPr>
              <w:t>PayHere, Google Maps, email, SMS, push/Firebase, S3</w:t>
            </w:r>
          </w:p>
        </w:tc>
        <w:tc>
          <w:tcPr>
            <w:tcW w:type="dxa" w:w="5260"/>
            <w:tcMar>
              <w:top w:w="80" w:type="dxa"/>
              <w:start w:w="120" w:type="dxa"/>
              <w:bottom w:w="80" w:type="dxa"/>
              <w:end w:w="120" w:type="dxa"/>
            </w:tcMar>
            <w:vAlign w:val="center"/>
          </w:tcPr>
          <w:p>
            <w:pPr>
              <w:spacing w:before="0" w:after="0" w:line="252" w:lineRule="auto"/>
            </w:pPr>
            <w:r>
              <w:rPr>
                <w:rFonts w:ascii="Calibri" w:hAnsi="Calibri"/>
                <w:color w:val="000000"/>
                <w:sz w:val="18"/>
              </w:rPr>
              <w:t>Payment, location, communication, backup</w:t>
            </w:r>
          </w:p>
        </w:tc>
      </w:tr>
    </w:tbl>
    <w:p>
      <w:pPr>
        <w:spacing w:after="40"/>
      </w:pPr>
    </w:p>
    <w:p>
      <w:pPr>
        <w:pStyle w:val="Heading2"/>
        <w:keepNext/>
      </w:pPr>
      <w:r>
        <w:t>3.2 Functional Breadth</w:t>
      </w:r>
    </w:p>
    <w:p>
      <w:pPr>
        <w:spacing w:before="0"/>
      </w:pPr>
      <w:r>
        <w:rPr>
          <w:rFonts w:ascii="Calibri" w:hAnsi="Calibri"/>
          <w:b w:val="0"/>
          <w:i w:val="0"/>
          <w:color w:val="000000"/>
          <w:sz w:val="22"/>
        </w:rPr>
        <w:t>The codebase covers the commerce loop rather than a catalog prototype. Five role areas connect to catalog governance, multi-vendor order splitting, payment, delivery, finance, refund, loyalty, subscriptions, reviews, support, content, analytics, backups, and mobile. This breadth is valuable but raises the cost of state consistency, documentation, contract testing, and release coordination.</w:t>
      </w:r>
    </w:p>
    <w:p>
      <w:pPr>
        <w:pStyle w:val="Heading1"/>
        <w:keepNext/>
      </w:pPr>
      <w:r>
        <w:t>4. Findings</w:t>
      </w:r>
    </w:p>
    <w:p>
      <w:pPr>
        <w:spacing w:before="100" w:after="40"/>
        <w:jc w:val="center"/>
      </w:pPr>
      <w:r>
        <w:drawing>
          <wp:inline xmlns:a="http://schemas.openxmlformats.org/drawingml/2006/main" xmlns:pic="http://schemas.openxmlformats.org/drawingml/2006/picture">
            <wp:extent cx="5715000" cy="2891118"/>
            <wp:docPr id="2" name="Picture 2" descr="Figure 2. Repository-based readiness assessment; 5 represents strong evidence for reviewed scope." title="Figure 2"/>
            <wp:cNvGraphicFramePr>
              <a:graphicFrameLocks noChangeAspect="1"/>
            </wp:cNvGraphicFramePr>
            <a:graphic>
              <a:graphicData uri="http://schemas.openxmlformats.org/drawingml/2006/picture">
                <pic:pic>
                  <pic:nvPicPr>
                    <pic:cNvPr id="0" name="dailycart_readiness.png"/>
                    <pic:cNvPicPr/>
                  </pic:nvPicPr>
                  <pic:blipFill>
                    <a:blip r:embed="rId14"/>
                    <a:stretch>
                      <a:fillRect/>
                    </a:stretch>
                  </pic:blipFill>
                  <pic:spPr>
                    <a:xfrm>
                      <a:off x="0" y="0"/>
                      <a:ext cx="5715000" cy="2891118"/>
                    </a:xfrm>
                    <a:prstGeom prst="rect"/>
                  </pic:spPr>
                </pic:pic>
              </a:graphicData>
            </a:graphic>
          </wp:inline>
        </w:drawing>
      </w:r>
    </w:p>
    <w:p>
      <w:pPr>
        <w:pStyle w:val="Caption"/>
        <w:jc w:val="center"/>
      </w:pPr>
      <w:r>
        <w:t>Figure 2. Repository-based readiness assessment; 5 represents strong evidence for reviewed scope.</w:t>
      </w:r>
    </w:p>
    <w:p>
      <w:pPr>
        <w:pStyle w:val="Heading2"/>
        <w:keepNext/>
      </w:pPr>
      <w:r>
        <w:t>4.1 Architecture Fitness</w:t>
      </w:r>
    </w:p>
    <w:p>
      <w:pPr>
        <w:spacing w:before="0"/>
      </w:pPr>
      <w:r>
        <w:rPr>
          <w:rFonts w:ascii="Calibri" w:hAnsi="Calibri"/>
          <w:b w:val="0"/>
          <w:i w:val="0"/>
          <w:color w:val="000000"/>
          <w:sz w:val="22"/>
        </w:rPr>
        <w:t>The modular monolith is a sound current choice. Core workflows share transactions across stock, orders, payments, deliveries, wallets, loyalty, refunds, and notifications. One Laravel deployment simplifies ACID behavior, authorization, development, and ownership. Premature microservices would add distributed transaction, ordering, observability, deployment, and data-ownership complexity without measured need.</w:t>
      </w:r>
    </w:p>
    <w:p>
      <w:pPr>
        <w:spacing w:before="0"/>
      </w:pPr>
      <w:r>
        <w:rPr>
          <w:rFonts w:ascii="Calibri" w:hAnsi="Calibri"/>
          <w:b w:val="0"/>
          <w:i w:val="0"/>
          <w:color w:val="000000"/>
          <w:sz w:val="22"/>
        </w:rPr>
        <w:t>The service layer is the strongest pattern. Laravel documents Sanctum as a preferred fit for first-party web plus mobile/token APIs [4], matching DailyCart's scoped abilities. Laravel also warns that queued work inside transactions should run after commit [5]; DailyCart uses after-commit queuing for several communications.</w:t>
      </w:r>
    </w:p>
    <w:p>
      <w:pPr>
        <w:pStyle w:val="Heading2"/>
        <w:keepNext/>
      </w:pPr>
      <w:r>
        <w:t>4.2 Commerce Integrity</w:t>
      </w:r>
    </w:p>
    <w:p>
      <w:pPr>
        <w:spacing w:before="0"/>
      </w:pPr>
      <w:r>
        <w:rPr>
          <w:rFonts w:ascii="Calibri" w:hAnsi="Calibri"/>
          <w:b w:val="0"/>
          <w:i w:val="0"/>
          <w:color w:val="000000"/>
          <w:sz w:val="22"/>
        </w:rPr>
        <w:t>Checkout and wallet behavior show mature consistency. Eligibility is rechecked, product rows are locked, order creation is transactional, and the cart converts only after all vendor orders exist. Wallet debit locks the customer, rejects overdraft, records balance-after, and marks payment paid. Refund approval coordinates wallet, payment, order, and loyalty in one transaction.</w:t>
      </w:r>
    </w:p>
    <w:p>
      <w:pPr>
        <w:spacing w:before="0"/>
      </w:pPr>
      <w:r>
        <w:rPr>
          <w:rFonts w:ascii="Calibri" w:hAnsi="Calibri"/>
          <w:b w:val="0"/>
          <w:i w:val="0"/>
          <w:color w:val="000000"/>
          <w:sz w:val="22"/>
        </w:rPr>
        <w:t>These choices match MySQL InnoDB locking reads [6]. Tests exercise competing checkout, quote/order parity, coupon limits, wallet single debit, and delivery fees. Remaining assurance should cover callback idempotency, recurring jobs, refund races, and repeated rider updates.</w:t>
      </w:r>
    </w:p>
    <w:p>
      <w:pPr>
        <w:pStyle w:val="Heading2"/>
        <w:keepNext/>
      </w:pPr>
      <w:r>
        <w:t>4.3 Security Posture</w:t>
      </w:r>
    </w:p>
    <w:p>
      <w:pPr>
        <w:spacing w:before="0"/>
      </w:pPr>
      <w:r>
        <w:rPr>
          <w:rFonts w:ascii="Calibri" w:hAnsi="Calibri"/>
          <w:b w:val="0"/>
          <w:i w:val="0"/>
          <w:color w:val="000000"/>
          <w:sz w:val="22"/>
        </w:rPr>
        <w:t>Positive controls include verification gates, token abilities, role middleware, ownership policies, rate limits, CSRF with a callback exception, upload validation, encrypted backups, dependency audits, and separate integration secrets. These address central OWASP API risks including object authorization, authentication, resource consumption, and sensitive flows [7].</w:t>
      </w:r>
    </w:p>
    <w:p>
      <w:pPr>
        <w:spacing w:before="0"/>
      </w:pPr>
      <w:r>
        <w:rPr>
          <w:rFonts w:ascii="Calibri" w:hAnsi="Calibri"/>
          <w:b w:val="0"/>
          <w:i w:val="0"/>
          <w:color w:val="000000"/>
          <w:sz w:val="22"/>
        </w:rPr>
        <w:t>Priority work includes threat modeling, negative authorization tests, callback replay protection, mobile authorization, disabling simulations/placeholders, secret scanning, security headers, cookie review, log redaction, upload malware strategy, access review, and incident response. Trusting all proxies should be constrained to known production proxies.</w:t>
      </w:r>
    </w:p>
    <w:p>
      <w:pPr>
        <w:pStyle w:val="Heading2"/>
        <w:keepNext/>
      </w:pPr>
      <w:r>
        <w:t>4.4 Payment and Mapping Integrations</w:t>
      </w:r>
    </w:p>
    <w:p>
      <w:pPr>
        <w:spacing w:before="0"/>
      </w:pPr>
      <w:r>
        <w:rPr>
          <w:rFonts w:ascii="Calibri" w:hAnsi="Calibri"/>
          <w:b w:val="0"/>
          <w:i w:val="0"/>
          <w:color w:val="000000"/>
          <w:sz w:val="22"/>
        </w:rPr>
        <w:t>PayHere states that notify_url is the authoritative server callback, localhost cannot receive it, and md5sig must be recomputed before state changes [8]. DailyCart's signature validation is directionally correct; production still needs idempotency, exact amount/currency/order matching, chargeback mapping, reconciliation, and sandbox/live separation.</w:t>
      </w:r>
    </w:p>
    <w:p>
      <w:pPr>
        <w:spacing w:before="0"/>
      </w:pPr>
      <w:r>
        <w:rPr>
          <w:rFonts w:ascii="Calibri" w:hAnsi="Calibri"/>
          <w:b w:val="0"/>
          <w:i w:val="0"/>
          <w:color w:val="000000"/>
          <w:sz w:val="22"/>
        </w:rPr>
        <w:t>Google recommends application/API key restrictions, separate keys per app/platform where practical, and server proxying for sensitive mobile web-service calls [9]. DailyCart separates browser, server, and mobile keys. Release should enforce restrictions, quotas, monitoring, HTTPS, and a plan to replace legacy Distance Matrix usage.</w:t>
      </w:r>
    </w:p>
    <w:p>
      <w:pPr>
        <w:pStyle w:val="Heading2"/>
        <w:keepNext/>
      </w:pPr>
      <w:r>
        <w:t>4.5 Mobile/API Contract Gap</w:t>
      </w:r>
    </w:p>
    <w:p>
      <w:pPr>
        <w:spacing w:before="0"/>
      </w:pPr>
      <w:r>
        <w:rPr>
          <w:rFonts w:ascii="Calibri" w:hAnsi="Calibri"/>
          <w:b w:val="0"/>
          <w:i w:val="0"/>
          <w:color w:val="000000"/>
          <w:sz w:val="22"/>
        </w:rPr>
        <w:t>This is the clearest blocker. Laravel exposes 27 API routes under /api/v1. Flutter defaults end at /api and services call /login or /products, so implemented endpoints resolve incorrectly without central v1 insertion. Flutter also expects addresses, wishlist, coupons, checkout, payment, notifications, loyalty, reviews, support, search, vendor products/profile/dashboard/earnings, and richer rider endpoints absent from routes/api.php.</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450"/>
        <w:gridCol w:w="2500"/>
        <w:gridCol w:w="3370"/>
        <w:gridCol w:w="2040"/>
      </w:tblGrid>
      <w:tr>
        <w:trPr>
          <w:tblHeader w:val="true"/>
        </w:trPr>
        <w:tc>
          <w:tcPr>
            <w:tcW w:type="dxa" w:w="1450"/>
            <w:shd w:fill="F4F6F9"/>
            <w:tcMar>
              <w:top w:w="80" w:type="dxa"/>
              <w:start w:w="120" w:type="dxa"/>
              <w:bottom w:w="80" w:type="dxa"/>
              <w:end w:w="120" w:type="dxa"/>
            </w:tcMar>
            <w:vAlign w:val="center"/>
          </w:tcPr>
          <w:p>
            <w:pPr>
              <w:spacing w:before="0" w:after="0"/>
            </w:pPr>
            <w:r>
              <w:rPr>
                <w:rFonts w:ascii="Calibri" w:hAnsi="Calibri"/>
                <w:b/>
                <w:color w:val="0B2545"/>
                <w:sz w:val="17"/>
              </w:rPr>
              <w:t>Area</w:t>
            </w:r>
          </w:p>
        </w:tc>
        <w:tc>
          <w:tcPr>
            <w:tcW w:type="dxa" w:w="2500"/>
            <w:shd w:fill="F4F6F9"/>
            <w:tcMar>
              <w:top w:w="80" w:type="dxa"/>
              <w:start w:w="120" w:type="dxa"/>
              <w:bottom w:w="80" w:type="dxa"/>
              <w:end w:w="120" w:type="dxa"/>
            </w:tcMar>
            <w:vAlign w:val="center"/>
          </w:tcPr>
          <w:p>
            <w:pPr>
              <w:spacing w:before="0" w:after="0"/>
            </w:pPr>
            <w:r>
              <w:rPr>
                <w:rFonts w:ascii="Calibri" w:hAnsi="Calibri"/>
                <w:b/>
                <w:color w:val="0B2545"/>
                <w:sz w:val="17"/>
              </w:rPr>
              <w:t>Backend</w:t>
            </w:r>
          </w:p>
        </w:tc>
        <w:tc>
          <w:tcPr>
            <w:tcW w:type="dxa" w:w="3370"/>
            <w:shd w:fill="F4F6F9"/>
            <w:tcMar>
              <w:top w:w="80" w:type="dxa"/>
              <w:start w:w="120" w:type="dxa"/>
              <w:bottom w:w="80" w:type="dxa"/>
              <w:end w:w="120" w:type="dxa"/>
            </w:tcMar>
            <w:vAlign w:val="center"/>
          </w:tcPr>
          <w:p>
            <w:pPr>
              <w:spacing w:before="0" w:after="0"/>
            </w:pPr>
            <w:r>
              <w:rPr>
                <w:rFonts w:ascii="Calibri" w:hAnsi="Calibri"/>
                <w:b/>
                <w:color w:val="0B2545"/>
                <w:sz w:val="17"/>
              </w:rPr>
              <w:t>Flutter</w:t>
            </w:r>
          </w:p>
        </w:tc>
        <w:tc>
          <w:tcPr>
            <w:tcW w:type="dxa" w:w="2040"/>
            <w:shd w:fill="F4F6F9"/>
            <w:tcMar>
              <w:top w:w="80" w:type="dxa"/>
              <w:start w:w="120" w:type="dxa"/>
              <w:bottom w:w="80" w:type="dxa"/>
              <w:end w:w="120" w:type="dxa"/>
            </w:tcMar>
            <w:vAlign w:val="center"/>
          </w:tcPr>
          <w:p>
            <w:pPr>
              <w:spacing w:before="0" w:after="0"/>
            </w:pPr>
            <w:r>
              <w:rPr>
                <w:rFonts w:ascii="Calibri" w:hAnsi="Calibri"/>
                <w:b/>
                <w:color w:val="0B2545"/>
                <w:sz w:val="17"/>
              </w:rPr>
              <w:t>Assessment</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color w:val="000000"/>
                <w:sz w:val="17"/>
              </w:rPr>
              <w:t>Base URL</w:t>
            </w:r>
          </w:p>
        </w:tc>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7"/>
              </w:rPr>
              <w:t>/api/v1</w:t>
            </w:r>
          </w:p>
        </w:tc>
        <w:tc>
          <w:tcPr>
            <w:tcW w:type="dxa" w:w="3370"/>
            <w:tcMar>
              <w:top w:w="80" w:type="dxa"/>
              <w:start w:w="120" w:type="dxa"/>
              <w:bottom w:w="80" w:type="dxa"/>
              <w:end w:w="120" w:type="dxa"/>
            </w:tcMar>
            <w:vAlign w:val="center"/>
          </w:tcPr>
          <w:p>
            <w:pPr>
              <w:spacing w:before="0" w:after="0" w:line="252" w:lineRule="auto"/>
            </w:pPr>
            <w:r>
              <w:rPr>
                <w:rFonts w:ascii="Calibri" w:hAnsi="Calibri"/>
                <w:color w:val="000000"/>
                <w:sz w:val="17"/>
              </w:rPr>
              <w:t>/api plus /login etc.</w:t>
            </w:r>
          </w:p>
        </w:tc>
        <w:tc>
          <w:tcPr>
            <w:tcW w:type="dxa" w:w="2040"/>
            <w:tcMar>
              <w:top w:w="80" w:type="dxa"/>
              <w:start w:w="120" w:type="dxa"/>
              <w:bottom w:w="80" w:type="dxa"/>
              <w:end w:w="120" w:type="dxa"/>
            </w:tcMar>
            <w:vAlign w:val="center"/>
          </w:tcPr>
          <w:p>
            <w:pPr>
              <w:spacing w:before="0" w:after="0" w:line="252" w:lineRule="auto"/>
            </w:pPr>
            <w:r>
              <w:rPr>
                <w:rFonts w:ascii="Calibri" w:hAnsi="Calibri"/>
                <w:color w:val="000000"/>
                <w:sz w:val="17"/>
              </w:rPr>
              <w:t>Immediate mismatch</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color w:val="000000"/>
                <w:sz w:val="17"/>
              </w:rPr>
              <w:t>Customer</w:t>
            </w:r>
          </w:p>
        </w:tc>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7"/>
              </w:rPr>
              <w:t>Cart, quote, create/list/show orders</w:t>
            </w:r>
          </w:p>
        </w:tc>
        <w:tc>
          <w:tcPr>
            <w:tcW w:type="dxa" w:w="3370"/>
            <w:tcMar>
              <w:top w:w="80" w:type="dxa"/>
              <w:start w:w="120" w:type="dxa"/>
              <w:bottom w:w="80" w:type="dxa"/>
              <w:end w:w="120" w:type="dxa"/>
            </w:tcMar>
            <w:vAlign w:val="center"/>
          </w:tcPr>
          <w:p>
            <w:pPr>
              <w:spacing w:before="0" w:after="0" w:line="252" w:lineRule="auto"/>
            </w:pPr>
            <w:r>
              <w:rPr>
                <w:rFonts w:ascii="Calibri" w:hAnsi="Calibri"/>
                <w:color w:val="000000"/>
                <w:sz w:val="17"/>
              </w:rPr>
              <w:t>Also address, wishlist, coupon, checkout, cancel, payment, loyalty, review, support</w:t>
            </w:r>
          </w:p>
        </w:tc>
        <w:tc>
          <w:tcPr>
            <w:tcW w:type="dxa" w:w="2040"/>
            <w:tcMar>
              <w:top w:w="80" w:type="dxa"/>
              <w:start w:w="120" w:type="dxa"/>
              <w:bottom w:w="80" w:type="dxa"/>
              <w:end w:w="120" w:type="dxa"/>
            </w:tcMar>
            <w:vAlign w:val="center"/>
          </w:tcPr>
          <w:p>
            <w:pPr>
              <w:spacing w:before="0" w:after="0" w:line="252" w:lineRule="auto"/>
            </w:pPr>
            <w:r>
              <w:rPr>
                <w:rFonts w:ascii="Calibri" w:hAnsi="Calibri"/>
                <w:color w:val="000000"/>
                <w:sz w:val="17"/>
              </w:rPr>
              <w:t>Partial</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color w:val="000000"/>
                <w:sz w:val="17"/>
              </w:rPr>
              <w:t>Vendor</w:t>
            </w:r>
          </w:p>
        </w:tc>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7"/>
              </w:rPr>
              <w:t>Overview, orders, wallet</w:t>
            </w:r>
          </w:p>
        </w:tc>
        <w:tc>
          <w:tcPr>
            <w:tcW w:type="dxa" w:w="3370"/>
            <w:tcMar>
              <w:top w:w="80" w:type="dxa"/>
              <w:start w:w="120" w:type="dxa"/>
              <w:bottom w:w="80" w:type="dxa"/>
              <w:end w:w="120" w:type="dxa"/>
            </w:tcMar>
            <w:vAlign w:val="center"/>
          </w:tcPr>
          <w:p>
            <w:pPr>
              <w:spacing w:before="0" w:after="0" w:line="252" w:lineRule="auto"/>
            </w:pPr>
            <w:r>
              <w:rPr>
                <w:rFonts w:ascii="Calibri" w:hAnsi="Calibri"/>
                <w:color w:val="000000"/>
                <w:sz w:val="17"/>
              </w:rPr>
              <w:t>Dashboard/profile/products/inventory/orders/earnings/reviews</w:t>
            </w:r>
          </w:p>
        </w:tc>
        <w:tc>
          <w:tcPr>
            <w:tcW w:type="dxa" w:w="2040"/>
            <w:tcMar>
              <w:top w:w="80" w:type="dxa"/>
              <w:start w:w="120" w:type="dxa"/>
              <w:bottom w:w="80" w:type="dxa"/>
              <w:end w:w="120" w:type="dxa"/>
            </w:tcMar>
            <w:vAlign w:val="center"/>
          </w:tcPr>
          <w:p>
            <w:pPr>
              <w:spacing w:before="0" w:after="0" w:line="252" w:lineRule="auto"/>
            </w:pPr>
            <w:r>
              <w:rPr>
                <w:rFonts w:ascii="Calibri" w:hAnsi="Calibri"/>
                <w:color w:val="000000"/>
                <w:sz w:val="17"/>
              </w:rPr>
              <w:t>Large gap</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color w:val="000000"/>
                <w:sz w:val="17"/>
              </w:rPr>
              <w:t>Rider</w:t>
            </w:r>
          </w:p>
        </w:tc>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7"/>
              </w:rPr>
              <w:t>Deliveries/detail/status/location</w:t>
            </w:r>
          </w:p>
        </w:tc>
        <w:tc>
          <w:tcPr>
            <w:tcW w:type="dxa" w:w="3370"/>
            <w:tcMar>
              <w:top w:w="80" w:type="dxa"/>
              <w:start w:w="120" w:type="dxa"/>
              <w:bottom w:w="80" w:type="dxa"/>
              <w:end w:w="120" w:type="dxa"/>
            </w:tcMar>
            <w:vAlign w:val="center"/>
          </w:tcPr>
          <w:p>
            <w:pPr>
              <w:spacing w:before="0" w:after="0" w:line="252" w:lineRule="auto"/>
            </w:pPr>
            <w:r>
              <w:rPr>
                <w:rFonts w:ascii="Calibri" w:hAnsi="Calibri"/>
                <w:color w:val="000000"/>
                <w:sz w:val="17"/>
              </w:rPr>
              <w:t>Dashboard/profile/earnings/proof upload</w:t>
            </w:r>
          </w:p>
        </w:tc>
        <w:tc>
          <w:tcPr>
            <w:tcW w:type="dxa" w:w="2040"/>
            <w:tcMar>
              <w:top w:w="80" w:type="dxa"/>
              <w:start w:w="120" w:type="dxa"/>
              <w:bottom w:w="80" w:type="dxa"/>
              <w:end w:w="120" w:type="dxa"/>
            </w:tcMar>
            <w:vAlign w:val="center"/>
          </w:tcPr>
          <w:p>
            <w:pPr>
              <w:spacing w:before="0" w:after="0" w:line="252" w:lineRule="auto"/>
            </w:pPr>
            <w:r>
              <w:rPr>
                <w:rFonts w:ascii="Calibri" w:hAnsi="Calibri"/>
                <w:color w:val="000000"/>
                <w:sz w:val="17"/>
              </w:rPr>
              <w:t>Partial gap</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color w:val="000000"/>
                <w:sz w:val="17"/>
              </w:rPr>
              <w:t>Products</w:t>
            </w:r>
          </w:p>
        </w:tc>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7"/>
              </w:rPr>
              <w:t>List/detail/categories</w:t>
            </w:r>
          </w:p>
        </w:tc>
        <w:tc>
          <w:tcPr>
            <w:tcW w:type="dxa" w:w="3370"/>
            <w:tcMar>
              <w:top w:w="80" w:type="dxa"/>
              <w:start w:w="120" w:type="dxa"/>
              <w:bottom w:w="80" w:type="dxa"/>
              <w:end w:w="120" w:type="dxa"/>
            </w:tcMar>
            <w:vAlign w:val="center"/>
          </w:tcPr>
          <w:p>
            <w:pPr>
              <w:spacing w:before="0" w:after="0" w:line="252" w:lineRule="auto"/>
            </w:pPr>
            <w:r>
              <w:rPr>
                <w:rFonts w:ascii="Calibri" w:hAnsi="Calibri"/>
                <w:color w:val="000000"/>
                <w:sz w:val="17"/>
              </w:rPr>
              <w:t>Featured/best/new/flash/recommended/search</w:t>
            </w:r>
          </w:p>
        </w:tc>
        <w:tc>
          <w:tcPr>
            <w:tcW w:type="dxa" w:w="2040"/>
            <w:tcMar>
              <w:top w:w="80" w:type="dxa"/>
              <w:start w:w="120" w:type="dxa"/>
              <w:bottom w:w="80" w:type="dxa"/>
              <w:end w:w="120" w:type="dxa"/>
            </w:tcMar>
            <w:vAlign w:val="center"/>
          </w:tcPr>
          <w:p>
            <w:pPr>
              <w:spacing w:before="0" w:after="0" w:line="252" w:lineRule="auto"/>
            </w:pPr>
            <w:r>
              <w:rPr>
                <w:rFonts w:ascii="Calibri" w:hAnsi="Calibri"/>
                <w:color w:val="000000"/>
                <w:sz w:val="17"/>
              </w:rPr>
              <w:t>Gap or query consolidation</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color w:val="000000"/>
                <w:sz w:val="17"/>
              </w:rPr>
              <w:t>Notifications</w:t>
            </w:r>
          </w:p>
        </w:tc>
        <w:tc>
          <w:tcPr>
            <w:tcW w:type="dxa" w:w="2500"/>
            <w:tcMar>
              <w:top w:w="80" w:type="dxa"/>
              <w:start w:w="120" w:type="dxa"/>
              <w:bottom w:w="80" w:type="dxa"/>
              <w:end w:w="120" w:type="dxa"/>
            </w:tcMar>
            <w:vAlign w:val="center"/>
          </w:tcPr>
          <w:p>
            <w:pPr>
              <w:spacing w:before="0" w:after="0" w:line="252" w:lineRule="auto"/>
            </w:pPr>
            <w:r>
              <w:rPr>
                <w:rFonts w:ascii="Calibri" w:hAnsi="Calibri"/>
                <w:color w:val="000000"/>
                <w:sz w:val="17"/>
              </w:rPr>
              <w:t>No API routes</w:t>
            </w:r>
          </w:p>
        </w:tc>
        <w:tc>
          <w:tcPr>
            <w:tcW w:type="dxa" w:w="3370"/>
            <w:tcMar>
              <w:top w:w="80" w:type="dxa"/>
              <w:start w:w="120" w:type="dxa"/>
              <w:bottom w:w="80" w:type="dxa"/>
              <w:end w:w="120" w:type="dxa"/>
            </w:tcMar>
            <w:vAlign w:val="center"/>
          </w:tcPr>
          <w:p>
            <w:pPr>
              <w:spacing w:before="0" w:after="0" w:line="252" w:lineRule="auto"/>
            </w:pPr>
            <w:r>
              <w:rPr>
                <w:rFonts w:ascii="Calibri" w:hAnsi="Calibri"/>
                <w:color w:val="000000"/>
                <w:sz w:val="17"/>
              </w:rPr>
              <w:t>List/read/read-all/delete/device token</w:t>
            </w:r>
          </w:p>
        </w:tc>
        <w:tc>
          <w:tcPr>
            <w:tcW w:type="dxa" w:w="2040"/>
            <w:tcMar>
              <w:top w:w="80" w:type="dxa"/>
              <w:start w:w="120" w:type="dxa"/>
              <w:bottom w:w="80" w:type="dxa"/>
              <w:end w:w="120" w:type="dxa"/>
            </w:tcMar>
            <w:vAlign w:val="center"/>
          </w:tcPr>
          <w:p>
            <w:pPr>
              <w:spacing w:before="0" w:after="0" w:line="252" w:lineRule="auto"/>
            </w:pPr>
            <w:r>
              <w:rPr>
                <w:rFonts w:ascii="Calibri" w:hAnsi="Calibri"/>
                <w:color w:val="000000"/>
                <w:sz w:val="17"/>
              </w:rPr>
              <w:t>Missing</w:t>
            </w:r>
          </w:p>
        </w:tc>
      </w:tr>
    </w:tbl>
    <w:p>
      <w:pPr>
        <w:spacing w:after="40"/>
      </w:pPr>
    </w:p>
    <w:p>
      <w:pPr>
        <w:spacing w:before="0"/>
      </w:pPr>
      <w:r>
        <w:rPr>
          <w:rFonts w:ascii="Calibri" w:hAnsi="Calibri"/>
          <w:b w:val="0"/>
          <w:i w:val="0"/>
          <w:color w:val="000000"/>
          <w:sz w:val="22"/>
        </w:rPr>
        <w:t>Flutter recommends clear UI/data layers with repositories/services and testable boundaries [10]. DailyCart has screens, providers, services, models, and routing, but an explicit repository interface would improve mocking, caching, offline behavior, contract migration, and error normalization.</w:t>
      </w:r>
    </w:p>
    <w:p>
      <w:pPr>
        <w:pStyle w:val="Heading2"/>
        <w:keepNext/>
      </w:pPr>
      <w:r>
        <w:t>4.6 Verification and Operations</w:t>
      </w:r>
    </w:p>
    <w:p>
      <w:pPr>
        <w:spacing w:before="0"/>
      </w:pPr>
      <w:r>
        <w:rPr>
          <w:rFonts w:ascii="Calibri" w:hAnsi="Calibri"/>
          <w:b w:val="0"/>
          <w:i w:val="0"/>
          <w:color w:val="000000"/>
          <w:sz w:val="22"/>
        </w:rPr>
        <w:t>The baseline is meaningful: 54 tests and 241 assertions passed, including registration, API security, cart isolation, variant ownership, pricing parity, configurable delivery fees, oversell prevention, coupon use, wallet debit, encrypted backup retention, offers, and location. Vite also built successfully, and CI covers PHPUnit, formatting, build, and audits.</w:t>
      </w:r>
    </w:p>
    <w:p>
      <w:pPr>
        <w:spacing w:before="0"/>
      </w:pPr>
      <w:r>
        <w:rPr>
          <w:rFonts w:ascii="Calibri" w:hAnsi="Calibri"/>
          <w:b w:val="0"/>
          <w:i w:val="0"/>
          <w:color w:val="000000"/>
          <w:sz w:val="22"/>
        </w:rPr>
        <w:t>Evidence is thinner for delivery states, callback permutations, refunds, subscriptions, support/review, reports, retries, mobile, accessibility, performance, and restores. Worker, scheduler, deployment, and backup instructions exist, but SLOs, RPO/RTO, alerts, capacity, and a restore record do not.</w:t>
      </w:r>
    </w:p>
    <w:p>
      <w:pPr>
        <w:pStyle w:val="Heading2"/>
        <w:keepNext/>
      </w:pPr>
      <w:r>
        <w:t>4.7 Regulatory and Consumer Considerations</w:t>
      </w:r>
    </w:p>
    <w:p>
      <w:pPr>
        <w:spacing w:before="0"/>
      </w:pPr>
      <w:r>
        <w:rPr>
          <w:rFonts w:ascii="Calibri" w:hAnsi="Calibri"/>
          <w:b w:val="0"/>
          <w:i w:val="0"/>
          <w:color w:val="000000"/>
          <w:sz w:val="22"/>
        </w:rPr>
        <w:t>Sri Lanka's Personal Data Protection Act applies to local processing and providers offering goods/services to people in Sri Lanka [11]. The Data Protection Authority announced operational dates beginning in March 2025 for major parts [12]. DailyCart therefore needs a data inventory, purpose analysis, notices, rights procedures, retention, safeguards, incident governance, and processor controls.</w:t>
      </w:r>
    </w:p>
    <w:p>
      <w:pPr>
        <w:spacing w:before="0"/>
      </w:pPr>
      <w:r>
        <w:rPr>
          <w:rFonts w:ascii="Calibri" w:hAnsi="Calibri"/>
          <w:b w:val="0"/>
          <w:i w:val="0"/>
          <w:color w:val="000000"/>
          <w:sz w:val="22"/>
        </w:rPr>
        <w:t>Consumer Affairs Authority Direction 91 covers e-commerce privacy, transparent data use, safeguards, prominent privacy policies, and appropriate cancellation opportunities [13]. DailyCart's policy, receipt, cancellation, support, and review functions are a base; legal review should reconcile disclosures, actual behavior, vendor duties, fees, refunds, safety, and complaints.</w:t>
      </w:r>
    </w:p>
    <w:p>
      <w:pPr>
        <w:pStyle w:val="Heading1"/>
        <w:keepNext/>
      </w:pPr>
      <w:r>
        <w:t>5. Comparative Design Evaluation</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550"/>
        <w:gridCol w:w="2150"/>
        <w:gridCol w:w="2050"/>
        <w:gridCol w:w="3610"/>
      </w:tblGrid>
      <w:tr>
        <w:trPr>
          <w:tblHeader w:val="true"/>
        </w:trPr>
        <w:tc>
          <w:tcPr>
            <w:tcW w:type="dxa" w:w="1550"/>
            <w:shd w:fill="F4F6F9"/>
            <w:tcMar>
              <w:top w:w="80" w:type="dxa"/>
              <w:start w:w="120" w:type="dxa"/>
              <w:bottom w:w="80" w:type="dxa"/>
              <w:end w:w="120" w:type="dxa"/>
            </w:tcMar>
            <w:vAlign w:val="center"/>
          </w:tcPr>
          <w:p>
            <w:pPr>
              <w:spacing w:before="0" w:after="0"/>
            </w:pPr>
            <w:r>
              <w:rPr>
                <w:rFonts w:ascii="Calibri" w:hAnsi="Calibri"/>
                <w:b/>
                <w:color w:val="0B2545"/>
                <w:sz w:val="17"/>
              </w:rPr>
              <w:t>Decision</w:t>
            </w:r>
          </w:p>
        </w:tc>
        <w:tc>
          <w:tcPr>
            <w:tcW w:type="dxa" w:w="2150"/>
            <w:shd w:fill="F4F6F9"/>
            <w:tcMar>
              <w:top w:w="80" w:type="dxa"/>
              <w:start w:w="120" w:type="dxa"/>
              <w:bottom w:w="80" w:type="dxa"/>
              <w:end w:w="120" w:type="dxa"/>
            </w:tcMar>
            <w:vAlign w:val="center"/>
          </w:tcPr>
          <w:p>
            <w:pPr>
              <w:spacing w:before="0" w:after="0"/>
            </w:pPr>
            <w:r>
              <w:rPr>
                <w:rFonts w:ascii="Calibri" w:hAnsi="Calibri"/>
                <w:b/>
                <w:color w:val="0B2545"/>
                <w:sz w:val="17"/>
              </w:rPr>
              <w:t>Selected</w:t>
            </w:r>
          </w:p>
        </w:tc>
        <w:tc>
          <w:tcPr>
            <w:tcW w:type="dxa" w:w="2050"/>
            <w:shd w:fill="F4F6F9"/>
            <w:tcMar>
              <w:top w:w="80" w:type="dxa"/>
              <w:start w:w="120" w:type="dxa"/>
              <w:bottom w:w="80" w:type="dxa"/>
              <w:end w:w="120" w:type="dxa"/>
            </w:tcMar>
            <w:vAlign w:val="center"/>
          </w:tcPr>
          <w:p>
            <w:pPr>
              <w:spacing w:before="0" w:after="0"/>
            </w:pPr>
            <w:r>
              <w:rPr>
                <w:rFonts w:ascii="Calibri" w:hAnsi="Calibri"/>
                <w:b/>
                <w:color w:val="0B2545"/>
                <w:sz w:val="17"/>
              </w:rPr>
              <w:t>Alternative</w:t>
            </w:r>
          </w:p>
        </w:tc>
        <w:tc>
          <w:tcPr>
            <w:tcW w:type="dxa" w:w="3610"/>
            <w:shd w:fill="F4F6F9"/>
            <w:tcMar>
              <w:top w:w="80" w:type="dxa"/>
              <w:start w:w="120" w:type="dxa"/>
              <w:bottom w:w="80" w:type="dxa"/>
              <w:end w:w="120" w:type="dxa"/>
            </w:tcMar>
            <w:vAlign w:val="center"/>
          </w:tcPr>
          <w:p>
            <w:pPr>
              <w:spacing w:before="0" w:after="0"/>
            </w:pPr>
            <w:r>
              <w:rPr>
                <w:rFonts w:ascii="Calibri" w:hAnsi="Calibri"/>
                <w:b/>
                <w:color w:val="0B2545"/>
                <w:sz w:val="17"/>
              </w:rPr>
              <w:t>Evaluation</w:t>
            </w:r>
          </w:p>
        </w:tc>
      </w:tr>
      <w:tr>
        <w:tc>
          <w:tcPr>
            <w:tcW w:type="dxa" w:w="1550"/>
            <w:tcMar>
              <w:top w:w="80" w:type="dxa"/>
              <w:start w:w="120" w:type="dxa"/>
              <w:bottom w:w="80" w:type="dxa"/>
              <w:end w:w="120" w:type="dxa"/>
            </w:tcMar>
            <w:vAlign w:val="center"/>
          </w:tcPr>
          <w:p>
            <w:pPr>
              <w:spacing w:before="0" w:after="0" w:line="252" w:lineRule="auto"/>
            </w:pPr>
            <w:r>
              <w:rPr>
                <w:rFonts w:ascii="Calibri" w:hAnsi="Calibri"/>
                <w:color w:val="000000"/>
                <w:sz w:val="17"/>
              </w:rPr>
              <w:t>Architecture</w:t>
            </w:r>
          </w:p>
        </w:tc>
        <w:tc>
          <w:tcPr>
            <w:tcW w:type="dxa" w:w="2150"/>
            <w:tcMar>
              <w:top w:w="80" w:type="dxa"/>
              <w:start w:w="120" w:type="dxa"/>
              <w:bottom w:w="80" w:type="dxa"/>
              <w:end w:w="120" w:type="dxa"/>
            </w:tcMar>
            <w:vAlign w:val="center"/>
          </w:tcPr>
          <w:p>
            <w:pPr>
              <w:spacing w:before="0" w:after="0" w:line="252" w:lineRule="auto"/>
            </w:pPr>
            <w:r>
              <w:rPr>
                <w:rFonts w:ascii="Calibri" w:hAnsi="Calibri"/>
                <w:color w:val="000000"/>
                <w:sz w:val="17"/>
              </w:rPr>
              <w:t>Laravel modular monolith</w:t>
            </w:r>
          </w:p>
        </w:tc>
        <w:tc>
          <w:tcPr>
            <w:tcW w:type="dxa" w:w="2050"/>
            <w:tcMar>
              <w:top w:w="80" w:type="dxa"/>
              <w:start w:w="120" w:type="dxa"/>
              <w:bottom w:w="80" w:type="dxa"/>
              <w:end w:w="120" w:type="dxa"/>
            </w:tcMar>
            <w:vAlign w:val="center"/>
          </w:tcPr>
          <w:p>
            <w:pPr>
              <w:spacing w:before="0" w:after="0" w:line="252" w:lineRule="auto"/>
            </w:pPr>
            <w:r>
              <w:rPr>
                <w:rFonts w:ascii="Calibri" w:hAnsi="Calibri"/>
                <w:color w:val="000000"/>
                <w:sz w:val="17"/>
              </w:rPr>
              <w:t>Microservices</w:t>
            </w:r>
          </w:p>
        </w:tc>
        <w:tc>
          <w:tcPr>
            <w:tcW w:type="dxa" w:w="3610"/>
            <w:tcMar>
              <w:top w:w="80" w:type="dxa"/>
              <w:start w:w="120" w:type="dxa"/>
              <w:bottom w:w="80" w:type="dxa"/>
              <w:end w:w="120" w:type="dxa"/>
            </w:tcMar>
            <w:vAlign w:val="center"/>
          </w:tcPr>
          <w:p>
            <w:pPr>
              <w:spacing w:before="0" w:after="0" w:line="252" w:lineRule="auto"/>
            </w:pPr>
            <w:r>
              <w:rPr>
                <w:rFonts w:ascii="Calibri" w:hAnsi="Calibri"/>
                <w:color w:val="000000"/>
                <w:sz w:val="17"/>
              </w:rPr>
              <w:t>Prefer selected approach while core workflows share transactions and one team operates the system.</w:t>
            </w:r>
          </w:p>
        </w:tc>
      </w:tr>
      <w:tr>
        <w:tc>
          <w:tcPr>
            <w:tcW w:type="dxa" w:w="1550"/>
            <w:tcMar>
              <w:top w:w="80" w:type="dxa"/>
              <w:start w:w="120" w:type="dxa"/>
              <w:bottom w:w="80" w:type="dxa"/>
              <w:end w:w="120" w:type="dxa"/>
            </w:tcMar>
            <w:vAlign w:val="center"/>
          </w:tcPr>
          <w:p>
            <w:pPr>
              <w:spacing w:before="0" w:after="0" w:line="252" w:lineRule="auto"/>
            </w:pPr>
            <w:r>
              <w:rPr>
                <w:rFonts w:ascii="Calibri" w:hAnsi="Calibri"/>
                <w:color w:val="000000"/>
                <w:sz w:val="17"/>
              </w:rPr>
              <w:t>Web</w:t>
            </w:r>
          </w:p>
        </w:tc>
        <w:tc>
          <w:tcPr>
            <w:tcW w:type="dxa" w:w="2150"/>
            <w:tcMar>
              <w:top w:w="80" w:type="dxa"/>
              <w:start w:w="120" w:type="dxa"/>
              <w:bottom w:w="80" w:type="dxa"/>
              <w:end w:w="120" w:type="dxa"/>
            </w:tcMar>
            <w:vAlign w:val="center"/>
          </w:tcPr>
          <w:p>
            <w:pPr>
              <w:spacing w:before="0" w:after="0" w:line="252" w:lineRule="auto"/>
            </w:pPr>
            <w:r>
              <w:rPr>
                <w:rFonts w:ascii="Calibri" w:hAnsi="Calibri"/>
                <w:color w:val="000000"/>
                <w:sz w:val="17"/>
              </w:rPr>
              <w:t>Blade/Tailwind/Alpine</w:t>
            </w:r>
          </w:p>
        </w:tc>
        <w:tc>
          <w:tcPr>
            <w:tcW w:type="dxa" w:w="2050"/>
            <w:tcMar>
              <w:top w:w="80" w:type="dxa"/>
              <w:start w:w="120" w:type="dxa"/>
              <w:bottom w:w="80" w:type="dxa"/>
              <w:end w:w="120" w:type="dxa"/>
            </w:tcMar>
            <w:vAlign w:val="center"/>
          </w:tcPr>
          <w:p>
            <w:pPr>
              <w:spacing w:before="0" w:after="0" w:line="252" w:lineRule="auto"/>
            </w:pPr>
            <w:r>
              <w:rPr>
                <w:rFonts w:ascii="Calibri" w:hAnsi="Calibri"/>
                <w:color w:val="000000"/>
                <w:sz w:val="17"/>
              </w:rPr>
              <w:t>React/Vue SPA</w:t>
            </w:r>
          </w:p>
        </w:tc>
        <w:tc>
          <w:tcPr>
            <w:tcW w:type="dxa" w:w="3610"/>
            <w:tcMar>
              <w:top w:w="80" w:type="dxa"/>
              <w:start w:w="120" w:type="dxa"/>
              <w:bottom w:w="80" w:type="dxa"/>
              <w:end w:w="120" w:type="dxa"/>
            </w:tcMar>
            <w:vAlign w:val="center"/>
          </w:tcPr>
          <w:p>
            <w:pPr>
              <w:spacing w:before="0" w:after="0" w:line="252" w:lineRule="auto"/>
            </w:pPr>
            <w:r>
              <w:rPr>
                <w:rFonts w:ascii="Calibri" w:hAnsi="Calibri"/>
                <w:color w:val="000000"/>
                <w:sz w:val="17"/>
              </w:rPr>
              <w:t>Selected approach reduces API/deployment overhead; SPA only if interaction or team independence demands it.</w:t>
            </w:r>
          </w:p>
        </w:tc>
      </w:tr>
      <w:tr>
        <w:tc>
          <w:tcPr>
            <w:tcW w:type="dxa" w:w="1550"/>
            <w:tcMar>
              <w:top w:w="80" w:type="dxa"/>
              <w:start w:w="120" w:type="dxa"/>
              <w:bottom w:w="80" w:type="dxa"/>
              <w:end w:w="120" w:type="dxa"/>
            </w:tcMar>
            <w:vAlign w:val="center"/>
          </w:tcPr>
          <w:p>
            <w:pPr>
              <w:spacing w:before="0" w:after="0" w:line="252" w:lineRule="auto"/>
            </w:pPr>
            <w:r>
              <w:rPr>
                <w:rFonts w:ascii="Calibri" w:hAnsi="Calibri"/>
                <w:color w:val="000000"/>
                <w:sz w:val="17"/>
              </w:rPr>
              <w:t>Mobile</w:t>
            </w:r>
          </w:p>
        </w:tc>
        <w:tc>
          <w:tcPr>
            <w:tcW w:type="dxa" w:w="2150"/>
            <w:tcMar>
              <w:top w:w="80" w:type="dxa"/>
              <w:start w:w="120" w:type="dxa"/>
              <w:bottom w:w="80" w:type="dxa"/>
              <w:end w:w="120" w:type="dxa"/>
            </w:tcMar>
            <w:vAlign w:val="center"/>
          </w:tcPr>
          <w:p>
            <w:pPr>
              <w:spacing w:before="0" w:after="0" w:line="252" w:lineRule="auto"/>
            </w:pPr>
            <w:r>
              <w:rPr>
                <w:rFonts w:ascii="Calibri" w:hAnsi="Calibri"/>
                <w:color w:val="000000"/>
                <w:sz w:val="17"/>
              </w:rPr>
              <w:t>Flutter</w:t>
            </w:r>
          </w:p>
        </w:tc>
        <w:tc>
          <w:tcPr>
            <w:tcW w:type="dxa" w:w="2050"/>
            <w:tcMar>
              <w:top w:w="80" w:type="dxa"/>
              <w:start w:w="120" w:type="dxa"/>
              <w:bottom w:w="80" w:type="dxa"/>
              <w:end w:w="120" w:type="dxa"/>
            </w:tcMar>
            <w:vAlign w:val="center"/>
          </w:tcPr>
          <w:p>
            <w:pPr>
              <w:spacing w:before="0" w:after="0" w:line="252" w:lineRule="auto"/>
            </w:pPr>
            <w:r>
              <w:rPr>
                <w:rFonts w:ascii="Calibri" w:hAnsi="Calibri"/>
                <w:color w:val="000000"/>
                <w:sz w:val="17"/>
              </w:rPr>
              <w:t>Native / React Native</w:t>
            </w:r>
          </w:p>
        </w:tc>
        <w:tc>
          <w:tcPr>
            <w:tcW w:type="dxa" w:w="3610"/>
            <w:tcMar>
              <w:top w:w="80" w:type="dxa"/>
              <w:start w:w="120" w:type="dxa"/>
              <w:bottom w:w="80" w:type="dxa"/>
              <w:end w:w="120" w:type="dxa"/>
            </w:tcMar>
            <w:vAlign w:val="center"/>
          </w:tcPr>
          <w:p>
            <w:pPr>
              <w:spacing w:before="0" w:after="0" w:line="252" w:lineRule="auto"/>
            </w:pPr>
            <w:r>
              <w:rPr>
                <w:rFonts w:ascii="Calibri" w:hAnsi="Calibri"/>
                <w:color w:val="000000"/>
                <w:sz w:val="17"/>
              </w:rPr>
              <w:t>Flutter fits reuse; backend contract is the constraint.</w:t>
            </w:r>
          </w:p>
        </w:tc>
      </w:tr>
      <w:tr>
        <w:tc>
          <w:tcPr>
            <w:tcW w:type="dxa" w:w="1550"/>
            <w:tcMar>
              <w:top w:w="80" w:type="dxa"/>
              <w:start w:w="120" w:type="dxa"/>
              <w:bottom w:w="80" w:type="dxa"/>
              <w:end w:w="120" w:type="dxa"/>
            </w:tcMar>
            <w:vAlign w:val="center"/>
          </w:tcPr>
          <w:p>
            <w:pPr>
              <w:spacing w:before="0" w:after="0" w:line="252" w:lineRule="auto"/>
            </w:pPr>
            <w:r>
              <w:rPr>
                <w:rFonts w:ascii="Calibri" w:hAnsi="Calibri"/>
                <w:color w:val="000000"/>
                <w:sz w:val="17"/>
              </w:rPr>
              <w:t>Database</w:t>
            </w:r>
          </w:p>
        </w:tc>
        <w:tc>
          <w:tcPr>
            <w:tcW w:type="dxa" w:w="2150"/>
            <w:tcMar>
              <w:top w:w="80" w:type="dxa"/>
              <w:start w:w="120" w:type="dxa"/>
              <w:bottom w:w="80" w:type="dxa"/>
              <w:end w:w="120" w:type="dxa"/>
            </w:tcMar>
            <w:vAlign w:val="center"/>
          </w:tcPr>
          <w:p>
            <w:pPr>
              <w:spacing w:before="0" w:after="0" w:line="252" w:lineRule="auto"/>
            </w:pPr>
            <w:r>
              <w:rPr>
                <w:rFonts w:ascii="Calibri" w:hAnsi="Calibri"/>
                <w:color w:val="000000"/>
                <w:sz w:val="17"/>
              </w:rPr>
              <w:t>MySQL 8/InnoDB</w:t>
            </w:r>
          </w:p>
        </w:tc>
        <w:tc>
          <w:tcPr>
            <w:tcW w:type="dxa" w:w="2050"/>
            <w:tcMar>
              <w:top w:w="80" w:type="dxa"/>
              <w:start w:w="120" w:type="dxa"/>
              <w:bottom w:w="80" w:type="dxa"/>
              <w:end w:w="120" w:type="dxa"/>
            </w:tcMar>
            <w:vAlign w:val="center"/>
          </w:tcPr>
          <w:p>
            <w:pPr>
              <w:spacing w:before="0" w:after="0" w:line="252" w:lineRule="auto"/>
            </w:pPr>
            <w:r>
              <w:rPr>
                <w:rFonts w:ascii="Calibri" w:hAnsi="Calibri"/>
                <w:color w:val="000000"/>
                <w:sz w:val="17"/>
              </w:rPr>
              <w:t>PostgreSQL / NoSQL</w:t>
            </w:r>
          </w:p>
        </w:tc>
        <w:tc>
          <w:tcPr>
            <w:tcW w:type="dxa" w:w="3610"/>
            <w:tcMar>
              <w:top w:w="80" w:type="dxa"/>
              <w:start w:w="120" w:type="dxa"/>
              <w:bottom w:w="80" w:type="dxa"/>
              <w:end w:w="120" w:type="dxa"/>
            </w:tcMar>
            <w:vAlign w:val="center"/>
          </w:tcPr>
          <w:p>
            <w:pPr>
              <w:spacing w:before="0" w:after="0" w:line="252" w:lineRule="auto"/>
            </w:pPr>
            <w:r>
              <w:rPr>
                <w:rFonts w:ascii="Calibri" w:hAnsi="Calibri"/>
                <w:color w:val="000000"/>
                <w:sz w:val="17"/>
              </w:rPr>
              <w:t>MySQL supports relational commerce and locks; migration lacks a business case.</w:t>
            </w:r>
          </w:p>
        </w:tc>
      </w:tr>
      <w:tr>
        <w:tc>
          <w:tcPr>
            <w:tcW w:type="dxa" w:w="1550"/>
            <w:tcMar>
              <w:top w:w="80" w:type="dxa"/>
              <w:start w:w="120" w:type="dxa"/>
              <w:bottom w:w="80" w:type="dxa"/>
              <w:end w:w="120" w:type="dxa"/>
            </w:tcMar>
            <w:vAlign w:val="center"/>
          </w:tcPr>
          <w:p>
            <w:pPr>
              <w:spacing w:before="0" w:after="0" w:line="252" w:lineRule="auto"/>
            </w:pPr>
            <w:r>
              <w:rPr>
                <w:rFonts w:ascii="Calibri" w:hAnsi="Calibri"/>
                <w:color w:val="000000"/>
                <w:sz w:val="17"/>
              </w:rPr>
              <w:t>API auth</w:t>
            </w:r>
          </w:p>
        </w:tc>
        <w:tc>
          <w:tcPr>
            <w:tcW w:type="dxa" w:w="2150"/>
            <w:tcMar>
              <w:top w:w="80" w:type="dxa"/>
              <w:start w:w="120" w:type="dxa"/>
              <w:bottom w:w="80" w:type="dxa"/>
              <w:end w:w="120" w:type="dxa"/>
            </w:tcMar>
            <w:vAlign w:val="center"/>
          </w:tcPr>
          <w:p>
            <w:pPr>
              <w:spacing w:before="0" w:after="0" w:line="252" w:lineRule="auto"/>
            </w:pPr>
            <w:r>
              <w:rPr>
                <w:rFonts w:ascii="Calibri" w:hAnsi="Calibri"/>
                <w:color w:val="000000"/>
                <w:sz w:val="17"/>
              </w:rPr>
              <w:t>Sanctum abilities</w:t>
            </w:r>
          </w:p>
        </w:tc>
        <w:tc>
          <w:tcPr>
            <w:tcW w:type="dxa" w:w="2050"/>
            <w:tcMar>
              <w:top w:w="80" w:type="dxa"/>
              <w:start w:w="120" w:type="dxa"/>
              <w:bottom w:w="80" w:type="dxa"/>
              <w:end w:w="120" w:type="dxa"/>
            </w:tcMar>
            <w:vAlign w:val="center"/>
          </w:tcPr>
          <w:p>
            <w:pPr>
              <w:spacing w:before="0" w:after="0" w:line="252" w:lineRule="auto"/>
            </w:pPr>
            <w:r>
              <w:rPr>
                <w:rFonts w:ascii="Calibri" w:hAnsi="Calibri"/>
                <w:color w:val="000000"/>
                <w:sz w:val="17"/>
              </w:rPr>
              <w:t>OAuth2/Passport</w:t>
            </w:r>
          </w:p>
        </w:tc>
        <w:tc>
          <w:tcPr>
            <w:tcW w:type="dxa" w:w="3610"/>
            <w:tcMar>
              <w:top w:w="80" w:type="dxa"/>
              <w:start w:w="120" w:type="dxa"/>
              <w:bottom w:w="80" w:type="dxa"/>
              <w:end w:w="120" w:type="dxa"/>
            </w:tcMar>
            <w:vAlign w:val="center"/>
          </w:tcPr>
          <w:p>
            <w:pPr>
              <w:spacing w:before="0" w:after="0" w:line="252" w:lineRule="auto"/>
            </w:pPr>
            <w:r>
              <w:rPr>
                <w:rFonts w:ascii="Calibri" w:hAnsi="Calibri"/>
                <w:color w:val="000000"/>
                <w:sz w:val="17"/>
              </w:rPr>
              <w:t>Sanctum is appropriate for first-party mobile; OAuth2 only for delegated third parties.</w:t>
            </w:r>
          </w:p>
        </w:tc>
      </w:tr>
      <w:tr>
        <w:tc>
          <w:tcPr>
            <w:tcW w:type="dxa" w:w="1550"/>
            <w:tcMar>
              <w:top w:w="80" w:type="dxa"/>
              <w:start w:w="120" w:type="dxa"/>
              <w:bottom w:w="80" w:type="dxa"/>
              <w:end w:w="120" w:type="dxa"/>
            </w:tcMar>
            <w:vAlign w:val="center"/>
          </w:tcPr>
          <w:p>
            <w:pPr>
              <w:spacing w:before="0" w:after="0" w:line="252" w:lineRule="auto"/>
            </w:pPr>
            <w:r>
              <w:rPr>
                <w:rFonts w:ascii="Calibri" w:hAnsi="Calibri"/>
                <w:color w:val="000000"/>
                <w:sz w:val="17"/>
              </w:rPr>
              <w:t>Queue</w:t>
            </w:r>
          </w:p>
        </w:tc>
        <w:tc>
          <w:tcPr>
            <w:tcW w:type="dxa" w:w="2150"/>
            <w:tcMar>
              <w:top w:w="80" w:type="dxa"/>
              <w:start w:w="120" w:type="dxa"/>
              <w:bottom w:w="80" w:type="dxa"/>
              <w:end w:w="120" w:type="dxa"/>
            </w:tcMar>
            <w:vAlign w:val="center"/>
          </w:tcPr>
          <w:p>
            <w:pPr>
              <w:spacing w:before="0" w:after="0" w:line="252" w:lineRule="auto"/>
            </w:pPr>
            <w:r>
              <w:rPr>
                <w:rFonts w:ascii="Calibri" w:hAnsi="Calibri"/>
                <w:color w:val="000000"/>
                <w:sz w:val="17"/>
              </w:rPr>
              <w:t>Database queue</w:t>
            </w:r>
          </w:p>
        </w:tc>
        <w:tc>
          <w:tcPr>
            <w:tcW w:type="dxa" w:w="2050"/>
            <w:tcMar>
              <w:top w:w="80" w:type="dxa"/>
              <w:start w:w="120" w:type="dxa"/>
              <w:bottom w:w="80" w:type="dxa"/>
              <w:end w:w="120" w:type="dxa"/>
            </w:tcMar>
            <w:vAlign w:val="center"/>
          </w:tcPr>
          <w:p>
            <w:pPr>
              <w:spacing w:before="0" w:after="0" w:line="252" w:lineRule="auto"/>
            </w:pPr>
            <w:r>
              <w:rPr>
                <w:rFonts w:ascii="Calibri" w:hAnsi="Calibri"/>
                <w:color w:val="000000"/>
                <w:sz w:val="17"/>
              </w:rPr>
              <w:t>Redis/SQS</w:t>
            </w:r>
          </w:p>
        </w:tc>
        <w:tc>
          <w:tcPr>
            <w:tcW w:type="dxa" w:w="3610"/>
            <w:tcMar>
              <w:top w:w="80" w:type="dxa"/>
              <w:start w:w="120" w:type="dxa"/>
              <w:bottom w:w="80" w:type="dxa"/>
              <w:end w:w="120" w:type="dxa"/>
            </w:tcMar>
            <w:vAlign w:val="center"/>
          </w:tcPr>
          <w:p>
            <w:pPr>
              <w:spacing w:before="0" w:after="0" w:line="252" w:lineRule="auto"/>
            </w:pPr>
            <w:r>
              <w:rPr>
                <w:rFonts w:ascii="Calibri" w:hAnsi="Calibri"/>
                <w:color w:val="000000"/>
                <w:sz w:val="17"/>
              </w:rPr>
              <w:t>Suitable for pilot; migrate when throughput/isolation evidence justifies it.</w:t>
            </w:r>
          </w:p>
        </w:tc>
      </w:tr>
    </w:tbl>
    <w:p>
      <w:pPr>
        <w:spacing w:after="40"/>
      </w:pPr>
    </w:p>
    <w:p>
      <w:pPr>
        <w:pStyle w:val="Heading1"/>
        <w:keepNext/>
      </w:pPr>
      <w:r>
        <w:t>6. Feasibility Analysis</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500"/>
        <w:gridCol w:w="1700"/>
        <w:gridCol w:w="6160"/>
      </w:tblGrid>
      <w:tr>
        <w:trPr>
          <w:tblHeader w:val="true"/>
        </w:trPr>
        <w:tc>
          <w:tcPr>
            <w:tcW w:type="dxa" w:w="1500"/>
            <w:shd w:fill="F4F6F9"/>
            <w:tcMar>
              <w:top w:w="80" w:type="dxa"/>
              <w:start w:w="120" w:type="dxa"/>
              <w:bottom w:w="80" w:type="dxa"/>
              <w:end w:w="120" w:type="dxa"/>
            </w:tcMar>
            <w:vAlign w:val="center"/>
          </w:tcPr>
          <w:p>
            <w:pPr>
              <w:spacing w:before="0" w:after="0"/>
            </w:pPr>
            <w:r>
              <w:rPr>
                <w:rFonts w:ascii="Calibri" w:hAnsi="Calibri"/>
                <w:b/>
                <w:color w:val="0B2545"/>
                <w:sz w:val="18"/>
              </w:rPr>
              <w:t>Dimension</w:t>
            </w:r>
          </w:p>
        </w:tc>
        <w:tc>
          <w:tcPr>
            <w:tcW w:type="dxa" w:w="1700"/>
            <w:shd w:fill="F4F6F9"/>
            <w:tcMar>
              <w:top w:w="80" w:type="dxa"/>
              <w:start w:w="120" w:type="dxa"/>
              <w:bottom w:w="80" w:type="dxa"/>
              <w:end w:w="120" w:type="dxa"/>
            </w:tcMar>
            <w:vAlign w:val="center"/>
          </w:tcPr>
          <w:p>
            <w:pPr>
              <w:spacing w:before="0" w:after="0"/>
            </w:pPr>
            <w:r>
              <w:rPr>
                <w:rFonts w:ascii="Calibri" w:hAnsi="Calibri"/>
                <w:b/>
                <w:color w:val="0B2545"/>
                <w:sz w:val="18"/>
              </w:rPr>
              <w:t>Assessment</w:t>
            </w:r>
          </w:p>
        </w:tc>
        <w:tc>
          <w:tcPr>
            <w:tcW w:type="dxa" w:w="6160"/>
            <w:shd w:fill="F4F6F9"/>
            <w:tcMar>
              <w:top w:w="80" w:type="dxa"/>
              <w:start w:w="120" w:type="dxa"/>
              <w:bottom w:w="80" w:type="dxa"/>
              <w:end w:w="120" w:type="dxa"/>
            </w:tcMar>
            <w:vAlign w:val="center"/>
          </w:tcPr>
          <w:p>
            <w:pPr>
              <w:spacing w:before="0" w:after="0"/>
            </w:pPr>
            <w:r>
              <w:rPr>
                <w:rFonts w:ascii="Calibri" w:hAnsi="Calibri"/>
                <w:b/>
                <w:color w:val="0B2545"/>
                <w:sz w:val="18"/>
              </w:rPr>
              <w:t>Rationale</w:t>
            </w:r>
          </w:p>
        </w:tc>
      </w:tr>
      <w:tr>
        <w:tc>
          <w:tcPr>
            <w:tcW w:type="dxa" w:w="1500"/>
            <w:tcMar>
              <w:top w:w="80" w:type="dxa"/>
              <w:start w:w="120" w:type="dxa"/>
              <w:bottom w:w="80" w:type="dxa"/>
              <w:end w:w="120" w:type="dxa"/>
            </w:tcMar>
            <w:vAlign w:val="center"/>
          </w:tcPr>
          <w:p>
            <w:pPr>
              <w:spacing w:before="0" w:after="0" w:line="252" w:lineRule="auto"/>
            </w:pPr>
            <w:r>
              <w:rPr>
                <w:rFonts w:ascii="Calibri" w:hAnsi="Calibri"/>
                <w:color w:val="000000"/>
                <w:sz w:val="18"/>
              </w:rPr>
              <w:t>Technical</w:t>
            </w:r>
          </w:p>
        </w:tc>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8"/>
              </w:rPr>
              <w:t>High with conditions</w:t>
            </w:r>
          </w:p>
        </w:tc>
        <w:tc>
          <w:tcPr>
            <w:tcW w:type="dxa" w:w="6160"/>
            <w:tcMar>
              <w:top w:w="80" w:type="dxa"/>
              <w:start w:w="120" w:type="dxa"/>
              <w:bottom w:w="80" w:type="dxa"/>
              <w:end w:w="120" w:type="dxa"/>
            </w:tcMar>
            <w:vAlign w:val="center"/>
          </w:tcPr>
          <w:p>
            <w:pPr>
              <w:spacing w:before="0" w:after="0" w:line="252" w:lineRule="auto"/>
            </w:pPr>
            <w:r>
              <w:rPr>
                <w:rFonts w:ascii="Calibri" w:hAnsi="Calibri"/>
                <w:color w:val="000000"/>
                <w:sz w:val="18"/>
              </w:rPr>
              <w:t>Core web architecture, rules, tests, and build are viable; mobile/API and assurance remain.</w:t>
            </w:r>
          </w:p>
        </w:tc>
      </w:tr>
      <w:tr>
        <w:tc>
          <w:tcPr>
            <w:tcW w:type="dxa" w:w="1500"/>
            <w:tcMar>
              <w:top w:w="80" w:type="dxa"/>
              <w:start w:w="120" w:type="dxa"/>
              <w:bottom w:w="80" w:type="dxa"/>
              <w:end w:w="120" w:type="dxa"/>
            </w:tcMar>
            <w:vAlign w:val="center"/>
          </w:tcPr>
          <w:p>
            <w:pPr>
              <w:spacing w:before="0" w:after="0" w:line="252" w:lineRule="auto"/>
            </w:pPr>
            <w:r>
              <w:rPr>
                <w:rFonts w:ascii="Calibri" w:hAnsi="Calibri"/>
                <w:color w:val="000000"/>
                <w:sz w:val="18"/>
              </w:rPr>
              <w:t>Operational</w:t>
            </w:r>
          </w:p>
        </w:tc>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8"/>
              </w:rPr>
              <w:t>Moderate</w:t>
            </w:r>
          </w:p>
        </w:tc>
        <w:tc>
          <w:tcPr>
            <w:tcW w:type="dxa" w:w="6160"/>
            <w:tcMar>
              <w:top w:w="80" w:type="dxa"/>
              <w:start w:w="120" w:type="dxa"/>
              <w:bottom w:w="80" w:type="dxa"/>
              <w:end w:w="120" w:type="dxa"/>
            </w:tcMar>
            <w:vAlign w:val="center"/>
          </w:tcPr>
          <w:p>
            <w:pPr>
              <w:spacing w:before="0" w:after="0" w:line="252" w:lineRule="auto"/>
            </w:pPr>
            <w:r>
              <w:rPr>
                <w:rFonts w:ascii="Calibri" w:hAnsi="Calibri"/>
                <w:color w:val="000000"/>
                <w:sz w:val="18"/>
              </w:rPr>
              <w:t>Roles are clear; staffing, onboarding, exceptions, monitoring, and restores need procedures.</w:t>
            </w:r>
          </w:p>
        </w:tc>
      </w:tr>
      <w:tr>
        <w:tc>
          <w:tcPr>
            <w:tcW w:type="dxa" w:w="1500"/>
            <w:tcMar>
              <w:top w:w="80" w:type="dxa"/>
              <w:start w:w="120" w:type="dxa"/>
              <w:bottom w:w="80" w:type="dxa"/>
              <w:end w:w="120" w:type="dxa"/>
            </w:tcMar>
            <w:vAlign w:val="center"/>
          </w:tcPr>
          <w:p>
            <w:pPr>
              <w:spacing w:before="0" w:after="0" w:line="252" w:lineRule="auto"/>
            </w:pPr>
            <w:r>
              <w:rPr>
                <w:rFonts w:ascii="Calibri" w:hAnsi="Calibri"/>
                <w:color w:val="000000"/>
                <w:sz w:val="18"/>
              </w:rPr>
              <w:t>Economic</w:t>
            </w:r>
          </w:p>
        </w:tc>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8"/>
              </w:rPr>
              <w:t>Moderate to high</w:t>
            </w:r>
          </w:p>
        </w:tc>
        <w:tc>
          <w:tcPr>
            <w:tcW w:type="dxa" w:w="6160"/>
            <w:tcMar>
              <w:top w:w="80" w:type="dxa"/>
              <w:start w:w="120" w:type="dxa"/>
              <w:bottom w:w="80" w:type="dxa"/>
              <w:end w:w="120" w:type="dxa"/>
            </w:tcMar>
            <w:vAlign w:val="center"/>
          </w:tcPr>
          <w:p>
            <w:pPr>
              <w:spacing w:before="0" w:after="0" w:line="252" w:lineRule="auto"/>
            </w:pPr>
            <w:r>
              <w:rPr>
                <w:rFonts w:ascii="Calibri" w:hAnsi="Calibri"/>
                <w:color w:val="000000"/>
                <w:sz w:val="18"/>
              </w:rPr>
              <w:t>Open-source stack limits licenses; costs are hosting, Maps, payments, messaging, storage, support, riders, stores.</w:t>
            </w:r>
          </w:p>
        </w:tc>
      </w:tr>
      <w:tr>
        <w:tc>
          <w:tcPr>
            <w:tcW w:type="dxa" w:w="1500"/>
            <w:tcMar>
              <w:top w:w="80" w:type="dxa"/>
              <w:start w:w="120" w:type="dxa"/>
              <w:bottom w:w="80" w:type="dxa"/>
              <w:end w:w="120" w:type="dxa"/>
            </w:tcMar>
            <w:vAlign w:val="center"/>
          </w:tcPr>
          <w:p>
            <w:pPr>
              <w:spacing w:before="0" w:after="0" w:line="252" w:lineRule="auto"/>
            </w:pPr>
            <w:r>
              <w:rPr>
                <w:rFonts w:ascii="Calibri" w:hAnsi="Calibri"/>
                <w:color w:val="000000"/>
                <w:sz w:val="18"/>
              </w:rPr>
              <w:t>Schedule</w:t>
            </w:r>
          </w:p>
        </w:tc>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8"/>
              </w:rPr>
              <w:t>Moderate</w:t>
            </w:r>
          </w:p>
        </w:tc>
        <w:tc>
          <w:tcPr>
            <w:tcW w:type="dxa" w:w="6160"/>
            <w:tcMar>
              <w:top w:w="80" w:type="dxa"/>
              <w:start w:w="120" w:type="dxa"/>
              <w:bottom w:w="80" w:type="dxa"/>
              <w:end w:w="120" w:type="dxa"/>
            </w:tcMar>
            <w:vAlign w:val="center"/>
          </w:tcPr>
          <w:p>
            <w:pPr>
              <w:spacing w:before="0" w:after="0" w:line="252" w:lineRule="auto"/>
            </w:pPr>
            <w:r>
              <w:rPr>
                <w:rFonts w:ascii="Calibri" w:hAnsi="Calibri"/>
                <w:color w:val="000000"/>
                <w:sz w:val="18"/>
              </w:rPr>
              <w:t>Pilot follows focused hardening; full mobile breadth needs scope control.</w:t>
            </w:r>
          </w:p>
        </w:tc>
      </w:tr>
      <w:tr>
        <w:tc>
          <w:tcPr>
            <w:tcW w:type="dxa" w:w="1500"/>
            <w:tcMar>
              <w:top w:w="80" w:type="dxa"/>
              <w:start w:w="120" w:type="dxa"/>
              <w:bottom w:w="80" w:type="dxa"/>
              <w:end w:w="120" w:type="dxa"/>
            </w:tcMar>
            <w:vAlign w:val="center"/>
          </w:tcPr>
          <w:p>
            <w:pPr>
              <w:spacing w:before="0" w:after="0" w:line="252" w:lineRule="auto"/>
            </w:pPr>
            <w:r>
              <w:rPr>
                <w:rFonts w:ascii="Calibri" w:hAnsi="Calibri"/>
                <w:color w:val="000000"/>
                <w:sz w:val="18"/>
              </w:rPr>
              <w:t>Legal/privacy</w:t>
            </w:r>
          </w:p>
        </w:tc>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8"/>
              </w:rPr>
              <w:t>Moderate risk</w:t>
            </w:r>
          </w:p>
        </w:tc>
        <w:tc>
          <w:tcPr>
            <w:tcW w:type="dxa" w:w="6160"/>
            <w:tcMar>
              <w:top w:w="80" w:type="dxa"/>
              <w:start w:w="120" w:type="dxa"/>
              <w:bottom w:w="80" w:type="dxa"/>
              <w:end w:w="120" w:type="dxa"/>
            </w:tcMar>
            <w:vAlign w:val="center"/>
          </w:tcPr>
          <w:p>
            <w:pPr>
              <w:spacing w:before="0" w:after="0" w:line="252" w:lineRule="auto"/>
            </w:pPr>
            <w:r>
              <w:rPr>
                <w:rFonts w:ascii="Calibri" w:hAnsi="Calibri"/>
                <w:color w:val="000000"/>
                <w:sz w:val="18"/>
              </w:rPr>
              <w:t>Obligations are identifiable; processes and formal review are needed.</w:t>
            </w:r>
          </w:p>
        </w:tc>
      </w:tr>
      <w:tr>
        <w:tc>
          <w:tcPr>
            <w:tcW w:type="dxa" w:w="1500"/>
            <w:tcMar>
              <w:top w:w="80" w:type="dxa"/>
              <w:start w:w="120" w:type="dxa"/>
              <w:bottom w:w="80" w:type="dxa"/>
              <w:end w:w="120" w:type="dxa"/>
            </w:tcMar>
            <w:vAlign w:val="center"/>
          </w:tcPr>
          <w:p>
            <w:pPr>
              <w:spacing w:before="0" w:after="0" w:line="252" w:lineRule="auto"/>
            </w:pPr>
            <w:r>
              <w:rPr>
                <w:rFonts w:ascii="Calibri" w:hAnsi="Calibri"/>
                <w:color w:val="000000"/>
                <w:sz w:val="18"/>
              </w:rPr>
              <w:t>Scalability</w:t>
            </w:r>
          </w:p>
        </w:tc>
        <w:tc>
          <w:tcPr>
            <w:tcW w:type="dxa" w:w="1700"/>
            <w:tcMar>
              <w:top w:w="80" w:type="dxa"/>
              <w:start w:w="120" w:type="dxa"/>
              <w:bottom w:w="80" w:type="dxa"/>
              <w:end w:w="120" w:type="dxa"/>
            </w:tcMar>
            <w:vAlign w:val="center"/>
          </w:tcPr>
          <w:p>
            <w:pPr>
              <w:spacing w:before="0" w:after="0" w:line="252" w:lineRule="auto"/>
            </w:pPr>
            <w:r>
              <w:rPr>
                <w:rFonts w:ascii="Calibri" w:hAnsi="Calibri"/>
                <w:color w:val="000000"/>
                <w:sz w:val="18"/>
              </w:rPr>
              <w:t>Good for pilot/early growth</w:t>
            </w:r>
          </w:p>
        </w:tc>
        <w:tc>
          <w:tcPr>
            <w:tcW w:type="dxa" w:w="6160"/>
            <w:tcMar>
              <w:top w:w="80" w:type="dxa"/>
              <w:start w:w="120" w:type="dxa"/>
              <w:bottom w:w="80" w:type="dxa"/>
              <w:end w:w="120" w:type="dxa"/>
            </w:tcMar>
            <w:vAlign w:val="center"/>
          </w:tcPr>
          <w:p>
            <w:pPr>
              <w:spacing w:before="0" w:after="0" w:line="252" w:lineRule="auto"/>
            </w:pPr>
            <w:r>
              <w:rPr>
                <w:rFonts w:ascii="Calibri" w:hAnsi="Calibri"/>
                <w:color w:val="000000"/>
                <w:sz w:val="18"/>
              </w:rPr>
              <w:t>Laravel/MySQL/queues scale; optimize from metrics before decomposition.</w:t>
            </w:r>
          </w:p>
        </w:tc>
      </w:tr>
    </w:tbl>
    <w:p>
      <w:pPr>
        <w:spacing w:after="40"/>
      </w:pPr>
    </w:p>
    <w:p>
      <w:pPr>
        <w:pStyle w:val="Heading1"/>
        <w:keepNext/>
      </w:pPr>
      <w:r>
        <w:t>7. SWOT Analysis</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4680"/>
        <w:gridCol w:w="4680"/>
      </w:tblGrid>
      <w:tr>
        <w:trPr>
          <w:tblHeader w:val="true"/>
        </w:trPr>
        <w:tc>
          <w:tcPr>
            <w:tcW w:type="dxa" w:w="4680"/>
            <w:shd w:fill="F4F6F9"/>
            <w:tcMar>
              <w:top w:w="80" w:type="dxa"/>
              <w:start w:w="120" w:type="dxa"/>
              <w:bottom w:w="80" w:type="dxa"/>
              <w:end w:w="120" w:type="dxa"/>
            </w:tcMar>
            <w:vAlign w:val="center"/>
          </w:tcPr>
          <w:p>
            <w:pPr>
              <w:spacing w:before="0" w:after="0"/>
            </w:pPr>
            <w:r>
              <w:rPr>
                <w:rFonts w:ascii="Calibri" w:hAnsi="Calibri"/>
                <w:b/>
                <w:color w:val="0B2545"/>
                <w:sz w:val="18"/>
              </w:rPr>
              <w:t>Strengths</w:t>
            </w:r>
          </w:p>
        </w:tc>
        <w:tc>
          <w:tcPr>
            <w:tcW w:type="dxa" w:w="4680"/>
            <w:shd w:fill="F4F6F9"/>
            <w:tcMar>
              <w:top w:w="80" w:type="dxa"/>
              <w:start w:w="120" w:type="dxa"/>
              <w:bottom w:w="80" w:type="dxa"/>
              <w:end w:w="120" w:type="dxa"/>
            </w:tcMar>
            <w:vAlign w:val="center"/>
          </w:tcPr>
          <w:p>
            <w:pPr>
              <w:spacing w:before="0" w:after="0"/>
            </w:pPr>
            <w:r>
              <w:rPr>
                <w:rFonts w:ascii="Calibri" w:hAnsi="Calibri"/>
                <w:b/>
                <w:color w:val="0B2545"/>
                <w:sz w:val="18"/>
              </w:rPr>
              <w:t>Weaknesses</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color w:val="000000"/>
                <w:sz w:val="18"/>
              </w:rPr>
              <w:t>Broad scope; transactional rules; five-role RBAC; LKR/PayHere/location fit; tests; CI; encrypted backups.</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000000"/>
                <w:sz w:val="18"/>
              </w:rPr>
              <w:t>Mobile/API mismatch; limited mobile tests; documentation drift; placeholders; no SLO/RPO/RTO; incomplete privacy operations.</w:t>
            </w:r>
          </w:p>
        </w:tc>
      </w:tr>
    </w:tbl>
    <w:p>
      <w:pPr>
        <w:spacing w:after="40"/>
      </w:pP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4680"/>
        <w:gridCol w:w="4680"/>
      </w:tblGrid>
      <w:tr>
        <w:trPr>
          <w:tblHeader w:val="true"/>
        </w:trPr>
        <w:tc>
          <w:tcPr>
            <w:tcW w:type="dxa" w:w="4680"/>
            <w:shd w:fill="F4F6F9"/>
            <w:tcMar>
              <w:top w:w="80" w:type="dxa"/>
              <w:start w:w="120" w:type="dxa"/>
              <w:bottom w:w="80" w:type="dxa"/>
              <w:end w:w="120" w:type="dxa"/>
            </w:tcMar>
            <w:vAlign w:val="center"/>
          </w:tcPr>
          <w:p>
            <w:pPr>
              <w:spacing w:before="0" w:after="0"/>
            </w:pPr>
            <w:r>
              <w:rPr>
                <w:rFonts w:ascii="Calibri" w:hAnsi="Calibri"/>
                <w:b/>
                <w:color w:val="0B2545"/>
                <w:sz w:val="18"/>
              </w:rPr>
              <w:t>Opportunities</w:t>
            </w:r>
          </w:p>
        </w:tc>
        <w:tc>
          <w:tcPr>
            <w:tcW w:type="dxa" w:w="4680"/>
            <w:shd w:fill="F4F6F9"/>
            <w:tcMar>
              <w:top w:w="80" w:type="dxa"/>
              <w:start w:w="120" w:type="dxa"/>
              <w:bottom w:w="80" w:type="dxa"/>
              <w:end w:w="120" w:type="dxa"/>
            </w:tcMar>
            <w:vAlign w:val="center"/>
          </w:tcPr>
          <w:p>
            <w:pPr>
              <w:spacing w:before="0" w:after="0"/>
            </w:pPr>
            <w:r>
              <w:rPr>
                <w:rFonts w:ascii="Calibri" w:hAnsi="Calibri"/>
                <w:b/>
                <w:color w:val="0B2545"/>
                <w:sz w:val="18"/>
              </w:rPr>
              <w:t>Threats</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color w:val="000000"/>
                <w:sz w:val="18"/>
              </w:rPr>
              <w:t>Mobile adoption; vendor digitization; district expansion; subscriptions; loyalty; local payments; analytics; localization.</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000000"/>
                <w:sz w:val="18"/>
              </w:rPr>
              <w:t>Fraud; overselling; delivery failure; privacy breach; external API cost; store rejection; vendor quality; competition; regulation.</w:t>
            </w:r>
          </w:p>
        </w:tc>
      </w:tr>
    </w:tbl>
    <w:p>
      <w:pPr>
        <w:spacing w:after="40"/>
      </w:pPr>
    </w:p>
    <w:p>
      <w:pPr>
        <w:pStyle w:val="Heading1"/>
        <w:keepNext/>
      </w:pPr>
      <w:r>
        <w:t>8. Prioritized Gap Analysis</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900"/>
        <w:gridCol w:w="2400"/>
        <w:gridCol w:w="2550"/>
        <w:gridCol w:w="3510"/>
      </w:tblGrid>
      <w:tr>
        <w:trPr>
          <w:tblHeader w:val="true"/>
        </w:trPr>
        <w:tc>
          <w:tcPr>
            <w:tcW w:type="dxa" w:w="900"/>
            <w:shd w:fill="F4F6F9"/>
            <w:tcMar>
              <w:top w:w="80" w:type="dxa"/>
              <w:start w:w="120" w:type="dxa"/>
              <w:bottom w:w="80" w:type="dxa"/>
              <w:end w:w="120" w:type="dxa"/>
            </w:tcMar>
            <w:vAlign w:val="center"/>
          </w:tcPr>
          <w:p>
            <w:pPr>
              <w:spacing w:before="0" w:after="0"/>
            </w:pPr>
            <w:r>
              <w:rPr>
                <w:rFonts w:ascii="Calibri" w:hAnsi="Calibri"/>
                <w:b/>
                <w:color w:val="0B2545"/>
                <w:sz w:val="17"/>
              </w:rPr>
              <w:t>Priority</w:t>
            </w:r>
          </w:p>
        </w:tc>
        <w:tc>
          <w:tcPr>
            <w:tcW w:type="dxa" w:w="2400"/>
            <w:shd w:fill="F4F6F9"/>
            <w:tcMar>
              <w:top w:w="80" w:type="dxa"/>
              <w:start w:w="120" w:type="dxa"/>
              <w:bottom w:w="80" w:type="dxa"/>
              <w:end w:w="120" w:type="dxa"/>
            </w:tcMar>
            <w:vAlign w:val="center"/>
          </w:tcPr>
          <w:p>
            <w:pPr>
              <w:spacing w:before="0" w:after="0"/>
            </w:pPr>
            <w:r>
              <w:rPr>
                <w:rFonts w:ascii="Calibri" w:hAnsi="Calibri"/>
                <w:b/>
                <w:color w:val="0B2545"/>
                <w:sz w:val="17"/>
              </w:rPr>
              <w:t>Gap</w:t>
            </w:r>
          </w:p>
        </w:tc>
        <w:tc>
          <w:tcPr>
            <w:tcW w:type="dxa" w:w="2550"/>
            <w:shd w:fill="F4F6F9"/>
            <w:tcMar>
              <w:top w:w="80" w:type="dxa"/>
              <w:start w:w="120" w:type="dxa"/>
              <w:bottom w:w="80" w:type="dxa"/>
              <w:end w:w="120" w:type="dxa"/>
            </w:tcMar>
            <w:vAlign w:val="center"/>
          </w:tcPr>
          <w:p>
            <w:pPr>
              <w:spacing w:before="0" w:after="0"/>
            </w:pPr>
            <w:r>
              <w:rPr>
                <w:rFonts w:ascii="Calibri" w:hAnsi="Calibri"/>
                <w:b/>
                <w:color w:val="0B2545"/>
                <w:sz w:val="17"/>
              </w:rPr>
              <w:t>Impact</w:t>
            </w:r>
          </w:p>
        </w:tc>
        <w:tc>
          <w:tcPr>
            <w:tcW w:type="dxa" w:w="3510"/>
            <w:shd w:fill="F4F6F9"/>
            <w:tcMar>
              <w:top w:w="80" w:type="dxa"/>
              <w:start w:w="120" w:type="dxa"/>
              <w:bottom w:w="80" w:type="dxa"/>
              <w:end w:w="120" w:type="dxa"/>
            </w:tcMar>
            <w:vAlign w:val="center"/>
          </w:tcPr>
          <w:p>
            <w:pPr>
              <w:spacing w:before="0" w:after="0"/>
            </w:pPr>
            <w:r>
              <w:rPr>
                <w:rFonts w:ascii="Calibri" w:hAnsi="Calibri"/>
                <w:b/>
                <w:color w:val="0B2545"/>
                <w:sz w:val="17"/>
              </w:rPr>
              <w:t>Action</w:t>
            </w:r>
          </w:p>
        </w:tc>
      </w:tr>
      <w:tr>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7"/>
              </w:rPr>
              <w:t>P0</w:t>
            </w:r>
          </w:p>
        </w:tc>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7"/>
              </w:rPr>
              <w:t>Mobile URL/contract</w:t>
            </w:r>
          </w:p>
        </w:tc>
        <w:tc>
          <w:tcPr>
            <w:tcW w:type="dxa" w:w="2550"/>
            <w:tcMar>
              <w:top w:w="80" w:type="dxa"/>
              <w:start w:w="120" w:type="dxa"/>
              <w:bottom w:w="80" w:type="dxa"/>
              <w:end w:w="120" w:type="dxa"/>
            </w:tcMar>
            <w:vAlign w:val="center"/>
          </w:tcPr>
          <w:p>
            <w:pPr>
              <w:spacing w:before="0" w:after="0" w:line="252" w:lineRule="auto"/>
            </w:pPr>
            <w:r>
              <w:rPr>
                <w:rFonts w:ascii="Calibri" w:hAnsi="Calibri"/>
                <w:color w:val="000000"/>
                <w:sz w:val="17"/>
              </w:rPr>
              <w:t>Core screens fail</w:t>
            </w:r>
          </w:p>
        </w:tc>
        <w:tc>
          <w:tcPr>
            <w:tcW w:type="dxa" w:w="3510"/>
            <w:tcMar>
              <w:top w:w="80" w:type="dxa"/>
              <w:start w:w="120" w:type="dxa"/>
              <w:bottom w:w="80" w:type="dxa"/>
              <w:end w:w="120" w:type="dxa"/>
            </w:tcMar>
            <w:vAlign w:val="center"/>
          </w:tcPr>
          <w:p>
            <w:pPr>
              <w:spacing w:before="0" w:after="0" w:line="252" w:lineRule="auto"/>
            </w:pPr>
            <w:r>
              <w:rPr>
                <w:rFonts w:ascii="Calibri" w:hAnsi="Calibri"/>
                <w:color w:val="000000"/>
                <w:sz w:val="17"/>
              </w:rPr>
              <w:t>Publish OpenAPI; fix /api/v1; implement/gate paths; contract tests.</w:t>
            </w:r>
          </w:p>
        </w:tc>
      </w:tr>
      <w:tr>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7"/>
              </w:rPr>
              <w:t>P0</w:t>
            </w:r>
          </w:p>
        </w:tc>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7"/>
              </w:rPr>
              <w:t>Payment/top-up boundaries</w:t>
            </w:r>
          </w:p>
        </w:tc>
        <w:tc>
          <w:tcPr>
            <w:tcW w:type="dxa" w:w="2550"/>
            <w:tcMar>
              <w:top w:w="80" w:type="dxa"/>
              <w:start w:w="120" w:type="dxa"/>
              <w:bottom w:w="80" w:type="dxa"/>
              <w:end w:w="120" w:type="dxa"/>
            </w:tcMar>
            <w:vAlign w:val="center"/>
          </w:tcPr>
          <w:p>
            <w:pPr>
              <w:spacing w:before="0" w:after="0" w:line="252" w:lineRule="auto"/>
            </w:pPr>
            <w:r>
              <w:rPr>
                <w:rFonts w:ascii="Calibri" w:hAnsi="Calibri"/>
                <w:color w:val="000000"/>
                <w:sz w:val="17"/>
              </w:rPr>
              <w:t>Financial loss/state error</w:t>
            </w:r>
          </w:p>
        </w:tc>
        <w:tc>
          <w:tcPr>
            <w:tcW w:type="dxa" w:w="3510"/>
            <w:tcMar>
              <w:top w:w="80" w:type="dxa"/>
              <w:start w:w="120" w:type="dxa"/>
              <w:bottom w:w="80" w:type="dxa"/>
              <w:end w:w="120" w:type="dxa"/>
            </w:tcMar>
            <w:vAlign w:val="center"/>
          </w:tcPr>
          <w:p>
            <w:pPr>
              <w:spacing w:before="0" w:after="0" w:line="252" w:lineRule="auto"/>
            </w:pPr>
            <w:r>
              <w:rPr>
                <w:rFonts w:ascii="Calibri" w:hAnsi="Calibri"/>
                <w:color w:val="000000"/>
                <w:sz w:val="17"/>
              </w:rPr>
              <w:t>Disable placeholders; idempotent PayHere reconciliation; authorized top-up.</w:t>
            </w:r>
          </w:p>
        </w:tc>
      </w:tr>
      <w:tr>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7"/>
              </w:rPr>
              <w:t>P0</w:t>
            </w:r>
          </w:p>
        </w:tc>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7"/>
              </w:rPr>
              <w:t>Privacy/consumer operations</w:t>
            </w:r>
          </w:p>
        </w:tc>
        <w:tc>
          <w:tcPr>
            <w:tcW w:type="dxa" w:w="2550"/>
            <w:tcMar>
              <w:top w:w="80" w:type="dxa"/>
              <w:start w:w="120" w:type="dxa"/>
              <w:bottom w:w="80" w:type="dxa"/>
              <w:end w:w="120" w:type="dxa"/>
            </w:tcMar>
            <w:vAlign w:val="center"/>
          </w:tcPr>
          <w:p>
            <w:pPr>
              <w:spacing w:before="0" w:after="0" w:line="252" w:lineRule="auto"/>
            </w:pPr>
            <w:r>
              <w:rPr>
                <w:rFonts w:ascii="Calibri" w:hAnsi="Calibri"/>
                <w:color w:val="000000"/>
                <w:sz w:val="17"/>
              </w:rPr>
              <w:t>Legal and trust risk</w:t>
            </w:r>
          </w:p>
        </w:tc>
        <w:tc>
          <w:tcPr>
            <w:tcW w:type="dxa" w:w="3510"/>
            <w:tcMar>
              <w:top w:w="80" w:type="dxa"/>
              <w:start w:w="120" w:type="dxa"/>
              <w:bottom w:w="80" w:type="dxa"/>
              <w:end w:w="120" w:type="dxa"/>
            </w:tcMar>
            <w:vAlign w:val="center"/>
          </w:tcPr>
          <w:p>
            <w:pPr>
              <w:spacing w:before="0" w:after="0" w:line="252" w:lineRule="auto"/>
            </w:pPr>
            <w:r>
              <w:rPr>
                <w:rFonts w:ascii="Calibri" w:hAnsi="Calibri"/>
                <w:color w:val="000000"/>
                <w:sz w:val="17"/>
              </w:rPr>
              <w:t>Data map, notices, rights, retention, processors, legal review.</w:t>
            </w:r>
          </w:p>
        </w:tc>
      </w:tr>
      <w:tr>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7"/>
              </w:rPr>
              <w:t>P1</w:t>
            </w:r>
          </w:p>
        </w:tc>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7"/>
              </w:rPr>
              <w:t>Critical workflow tests</w:t>
            </w:r>
          </w:p>
        </w:tc>
        <w:tc>
          <w:tcPr>
            <w:tcW w:type="dxa" w:w="2550"/>
            <w:tcMar>
              <w:top w:w="80" w:type="dxa"/>
              <w:start w:w="120" w:type="dxa"/>
              <w:bottom w:w="80" w:type="dxa"/>
              <w:end w:w="120" w:type="dxa"/>
            </w:tcMar>
            <w:vAlign w:val="center"/>
          </w:tcPr>
          <w:p>
            <w:pPr>
              <w:spacing w:before="0" w:after="0" w:line="252" w:lineRule="auto"/>
            </w:pPr>
            <w:r>
              <w:rPr>
                <w:rFonts w:ascii="Calibri" w:hAnsi="Calibri"/>
                <w:color w:val="000000"/>
                <w:sz w:val="17"/>
              </w:rPr>
              <w:t>Regressions</w:t>
            </w:r>
          </w:p>
        </w:tc>
        <w:tc>
          <w:tcPr>
            <w:tcW w:type="dxa" w:w="3510"/>
            <w:tcMar>
              <w:top w:w="80" w:type="dxa"/>
              <w:start w:w="120" w:type="dxa"/>
              <w:bottom w:w="80" w:type="dxa"/>
              <w:end w:w="120" w:type="dxa"/>
            </w:tcMar>
            <w:vAlign w:val="center"/>
          </w:tcPr>
          <w:p>
            <w:pPr>
              <w:spacing w:before="0" w:after="0" w:line="252" w:lineRule="auto"/>
            </w:pPr>
            <w:r>
              <w:rPr>
                <w:rFonts w:ascii="Calibri" w:hAnsi="Calibri"/>
                <w:color w:val="000000"/>
                <w:sz w:val="17"/>
              </w:rPr>
              <w:t>Delivery/refund/subscription/concurrency/callback tests.</w:t>
            </w:r>
          </w:p>
        </w:tc>
      </w:tr>
      <w:tr>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7"/>
              </w:rPr>
              <w:t>P1</w:t>
            </w:r>
          </w:p>
        </w:tc>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7"/>
              </w:rPr>
              <w:t>Targets/observability</w:t>
            </w:r>
          </w:p>
        </w:tc>
        <w:tc>
          <w:tcPr>
            <w:tcW w:type="dxa" w:w="2550"/>
            <w:tcMar>
              <w:top w:w="80" w:type="dxa"/>
              <w:start w:w="120" w:type="dxa"/>
              <w:bottom w:w="80" w:type="dxa"/>
              <w:end w:w="120" w:type="dxa"/>
            </w:tcMar>
            <w:vAlign w:val="center"/>
          </w:tcPr>
          <w:p>
            <w:pPr>
              <w:spacing w:before="0" w:after="0" w:line="252" w:lineRule="auto"/>
            </w:pPr>
            <w:r>
              <w:rPr>
                <w:rFonts w:ascii="Calibri" w:hAnsi="Calibri"/>
                <w:color w:val="000000"/>
                <w:sz w:val="17"/>
              </w:rPr>
              <w:t>Slow detection/recovery</w:t>
            </w:r>
          </w:p>
        </w:tc>
        <w:tc>
          <w:tcPr>
            <w:tcW w:type="dxa" w:w="3510"/>
            <w:tcMar>
              <w:top w:w="80" w:type="dxa"/>
              <w:start w:w="120" w:type="dxa"/>
              <w:bottom w:w="80" w:type="dxa"/>
              <w:end w:w="120" w:type="dxa"/>
            </w:tcMar>
            <w:vAlign w:val="center"/>
          </w:tcPr>
          <w:p>
            <w:pPr>
              <w:spacing w:before="0" w:after="0" w:line="252" w:lineRule="auto"/>
            </w:pPr>
            <w:r>
              <w:rPr>
                <w:rFonts w:ascii="Calibri" w:hAnsi="Calibri"/>
                <w:color w:val="000000"/>
                <w:sz w:val="17"/>
              </w:rPr>
              <w:t>SLO/RPO/RTO, metrics, alerts, restore/failover runbooks.</w:t>
            </w:r>
          </w:p>
        </w:tc>
      </w:tr>
      <w:tr>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7"/>
              </w:rPr>
              <w:t>P1</w:t>
            </w:r>
          </w:p>
        </w:tc>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7"/>
              </w:rPr>
              <w:t>Mobile CI/release</w:t>
            </w:r>
          </w:p>
        </w:tc>
        <w:tc>
          <w:tcPr>
            <w:tcW w:type="dxa" w:w="2550"/>
            <w:tcMar>
              <w:top w:w="80" w:type="dxa"/>
              <w:start w:w="120" w:type="dxa"/>
              <w:bottom w:w="80" w:type="dxa"/>
              <w:end w:w="120" w:type="dxa"/>
            </w:tcMar>
            <w:vAlign w:val="center"/>
          </w:tcPr>
          <w:p>
            <w:pPr>
              <w:spacing w:before="0" w:after="0" w:line="252" w:lineRule="auto"/>
            </w:pPr>
            <w:r>
              <w:rPr>
                <w:rFonts w:ascii="Calibri" w:hAnsi="Calibri"/>
                <w:color w:val="000000"/>
                <w:sz w:val="17"/>
              </w:rPr>
              <w:t>Platform/store risk</w:t>
            </w:r>
          </w:p>
        </w:tc>
        <w:tc>
          <w:tcPr>
            <w:tcW w:type="dxa" w:w="3510"/>
            <w:tcMar>
              <w:top w:w="80" w:type="dxa"/>
              <w:start w:w="120" w:type="dxa"/>
              <w:bottom w:w="80" w:type="dxa"/>
              <w:end w:w="120" w:type="dxa"/>
            </w:tcMar>
            <w:vAlign w:val="center"/>
          </w:tcPr>
          <w:p>
            <w:pPr>
              <w:spacing w:before="0" w:after="0" w:line="252" w:lineRule="auto"/>
            </w:pPr>
            <w:r>
              <w:rPr>
                <w:rFonts w:ascii="Calibri" w:hAnsi="Calibri"/>
                <w:color w:val="000000"/>
                <w:sz w:val="17"/>
              </w:rPr>
              <w:t>Analyze/test/build, signing, Firebase, staged rollout.</w:t>
            </w:r>
          </w:p>
        </w:tc>
      </w:tr>
      <w:tr>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7"/>
              </w:rPr>
              <w:t>P2</w:t>
            </w:r>
          </w:p>
        </w:tc>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7"/>
              </w:rPr>
              <w:t>Documentation drift</w:t>
            </w:r>
          </w:p>
        </w:tc>
        <w:tc>
          <w:tcPr>
            <w:tcW w:type="dxa" w:w="2550"/>
            <w:tcMar>
              <w:top w:w="80" w:type="dxa"/>
              <w:start w:w="120" w:type="dxa"/>
              <w:bottom w:w="80" w:type="dxa"/>
              <w:end w:w="120" w:type="dxa"/>
            </w:tcMar>
            <w:vAlign w:val="center"/>
          </w:tcPr>
          <w:p>
            <w:pPr>
              <w:spacing w:before="0" w:after="0" w:line="252" w:lineRule="auto"/>
            </w:pPr>
            <w:r>
              <w:rPr>
                <w:rFonts w:ascii="Calibri" w:hAnsi="Calibri"/>
                <w:color w:val="000000"/>
                <w:sz w:val="17"/>
              </w:rPr>
              <w:t>Developer confusion</w:t>
            </w:r>
          </w:p>
        </w:tc>
        <w:tc>
          <w:tcPr>
            <w:tcW w:type="dxa" w:w="3510"/>
            <w:tcMar>
              <w:top w:w="80" w:type="dxa"/>
              <w:start w:w="120" w:type="dxa"/>
              <w:bottom w:w="80" w:type="dxa"/>
              <w:end w:w="120" w:type="dxa"/>
            </w:tcMar>
            <w:vAlign w:val="center"/>
          </w:tcPr>
          <w:p>
            <w:pPr>
              <w:spacing w:before="0" w:after="0" w:line="252" w:lineRule="auto"/>
            </w:pPr>
            <w:r>
              <w:rPr>
                <w:rFonts w:ascii="Calibri" w:hAnsi="Calibri"/>
                <w:color w:val="000000"/>
                <w:sz w:val="17"/>
              </w:rPr>
              <w:t>Generate route/OpenAPI/data documentation.</w:t>
            </w:r>
          </w:p>
        </w:tc>
      </w:tr>
      <w:tr>
        <w:tc>
          <w:tcPr>
            <w:tcW w:type="dxa" w:w="900"/>
            <w:tcMar>
              <w:top w:w="80" w:type="dxa"/>
              <w:start w:w="120" w:type="dxa"/>
              <w:bottom w:w="80" w:type="dxa"/>
              <w:end w:w="120" w:type="dxa"/>
            </w:tcMar>
            <w:vAlign w:val="center"/>
          </w:tcPr>
          <w:p>
            <w:pPr>
              <w:spacing w:before="0" w:after="0" w:line="252" w:lineRule="auto"/>
            </w:pPr>
            <w:r>
              <w:rPr>
                <w:rFonts w:ascii="Calibri" w:hAnsi="Calibri"/>
                <w:color w:val="000000"/>
                <w:sz w:val="17"/>
              </w:rPr>
              <w:t>P2</w:t>
            </w:r>
          </w:p>
        </w:tc>
        <w:tc>
          <w:tcPr>
            <w:tcW w:type="dxa" w:w="2400"/>
            <w:tcMar>
              <w:top w:w="80" w:type="dxa"/>
              <w:start w:w="120" w:type="dxa"/>
              <w:bottom w:w="80" w:type="dxa"/>
              <w:end w:w="120" w:type="dxa"/>
            </w:tcMar>
            <w:vAlign w:val="center"/>
          </w:tcPr>
          <w:p>
            <w:pPr>
              <w:spacing w:before="0" w:after="0" w:line="252" w:lineRule="auto"/>
            </w:pPr>
            <w:r>
              <w:rPr>
                <w:rFonts w:ascii="Calibri" w:hAnsi="Calibri"/>
                <w:color w:val="000000"/>
                <w:sz w:val="17"/>
              </w:rPr>
              <w:t>Accessibility/localization</w:t>
            </w:r>
          </w:p>
        </w:tc>
        <w:tc>
          <w:tcPr>
            <w:tcW w:type="dxa" w:w="2550"/>
            <w:tcMar>
              <w:top w:w="80" w:type="dxa"/>
              <w:start w:w="120" w:type="dxa"/>
              <w:bottom w:w="80" w:type="dxa"/>
              <w:end w:w="120" w:type="dxa"/>
            </w:tcMar>
            <w:vAlign w:val="center"/>
          </w:tcPr>
          <w:p>
            <w:pPr>
              <w:spacing w:before="0" w:after="0" w:line="252" w:lineRule="auto"/>
            </w:pPr>
            <w:r>
              <w:rPr>
                <w:rFonts w:ascii="Calibri" w:hAnsi="Calibri"/>
                <w:color w:val="000000"/>
                <w:sz w:val="17"/>
              </w:rPr>
              <w:t>Reduced reach</w:t>
            </w:r>
          </w:p>
        </w:tc>
        <w:tc>
          <w:tcPr>
            <w:tcW w:type="dxa" w:w="3510"/>
            <w:tcMar>
              <w:top w:w="80" w:type="dxa"/>
              <w:start w:w="120" w:type="dxa"/>
              <w:bottom w:w="80" w:type="dxa"/>
              <w:end w:w="120" w:type="dxa"/>
            </w:tcMar>
            <w:vAlign w:val="center"/>
          </w:tcPr>
          <w:p>
            <w:pPr>
              <w:spacing w:before="0" w:after="0" w:line="252" w:lineRule="auto"/>
            </w:pPr>
            <w:r>
              <w:rPr>
                <w:rFonts w:ascii="Calibri" w:hAnsi="Calibri"/>
                <w:color w:val="000000"/>
                <w:sz w:val="17"/>
              </w:rPr>
              <w:t>WCAG audit, localization, Sinhala/Tamil, low-bandwidth UX.</w:t>
            </w:r>
          </w:p>
        </w:tc>
      </w:tr>
    </w:tbl>
    <w:p>
      <w:pPr>
        <w:spacing w:after="40"/>
      </w:pPr>
    </w:p>
    <w:p>
      <w:pPr>
        <w:pStyle w:val="Heading1"/>
        <w:keepNext/>
      </w:pPr>
      <w:r>
        <w:t>9. Recommended Delivery Roadmap</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2600"/>
        <w:gridCol w:w="6760"/>
      </w:tblGrid>
      <w:tr>
        <w:trPr>
          <w:tblHeader w:val="true"/>
        </w:trPr>
        <w:tc>
          <w:tcPr>
            <w:tcW w:type="dxa" w:w="2600"/>
            <w:shd w:fill="F4F6F9"/>
            <w:tcMar>
              <w:top w:w="80" w:type="dxa"/>
              <w:start w:w="120" w:type="dxa"/>
              <w:bottom w:w="80" w:type="dxa"/>
              <w:end w:w="120" w:type="dxa"/>
            </w:tcMar>
            <w:vAlign w:val="center"/>
          </w:tcPr>
          <w:p>
            <w:pPr>
              <w:spacing w:before="0" w:after="0"/>
            </w:pPr>
            <w:r>
              <w:rPr>
                <w:rFonts w:ascii="Calibri" w:hAnsi="Calibri"/>
                <w:b/>
                <w:color w:val="0B2545"/>
                <w:sz w:val="18"/>
              </w:rPr>
              <w:t>Phase</w:t>
            </w:r>
          </w:p>
        </w:tc>
        <w:tc>
          <w:tcPr>
            <w:tcW w:type="dxa" w:w="6760"/>
            <w:shd w:fill="F4F6F9"/>
            <w:tcMar>
              <w:top w:w="80" w:type="dxa"/>
              <w:start w:w="120" w:type="dxa"/>
              <w:bottom w:w="80" w:type="dxa"/>
              <w:end w:w="120" w:type="dxa"/>
            </w:tcMar>
            <w:vAlign w:val="center"/>
          </w:tcPr>
          <w:p>
            <w:pPr>
              <w:spacing w:before="0" w:after="0"/>
            </w:pPr>
            <w:r>
              <w:rPr>
                <w:rFonts w:ascii="Calibri" w:hAnsi="Calibri"/>
                <w:b/>
                <w:color w:val="0B2545"/>
                <w:sz w:val="18"/>
              </w:rPr>
              <w:t>Deliverable</w:t>
            </w:r>
          </w:p>
        </w:tc>
      </w:tr>
      <w:tr>
        <w:tc>
          <w:tcPr>
            <w:tcW w:type="dxa" w:w="2600"/>
            <w:tcMar>
              <w:top w:w="80" w:type="dxa"/>
              <w:start w:w="120" w:type="dxa"/>
              <w:bottom w:w="80" w:type="dxa"/>
              <w:end w:w="120" w:type="dxa"/>
            </w:tcMar>
            <w:vAlign w:val="center"/>
          </w:tcPr>
          <w:p>
            <w:pPr>
              <w:spacing w:before="0" w:after="0" w:line="252" w:lineRule="auto"/>
            </w:pPr>
            <w:r>
              <w:rPr>
                <w:rFonts w:ascii="Calibri" w:hAnsi="Calibri"/>
                <w:color w:val="000000"/>
                <w:sz w:val="18"/>
              </w:rPr>
              <w:t>Weeks 1-2: Contract</w:t>
            </w:r>
          </w:p>
        </w:tc>
        <w:tc>
          <w:tcPr>
            <w:tcW w:type="dxa" w:w="6760"/>
            <w:tcMar>
              <w:top w:w="80" w:type="dxa"/>
              <w:start w:w="120" w:type="dxa"/>
              <w:bottom w:w="80" w:type="dxa"/>
              <w:end w:w="120" w:type="dxa"/>
            </w:tcMar>
            <w:vAlign w:val="center"/>
          </w:tcPr>
          <w:p>
            <w:pPr>
              <w:spacing w:before="0" w:after="0" w:line="252" w:lineRule="auto"/>
            </w:pPr>
            <w:r>
              <w:rPr>
                <w:rFonts w:ascii="Calibri" w:hAnsi="Calibri"/>
                <w:color w:val="000000"/>
                <w:sz w:val="18"/>
              </w:rPr>
              <w:t>Inventory enabled screens/calls; OpenAPI; fix /api/v1; define pilot modules and schemas.</w:t>
            </w:r>
          </w:p>
        </w:tc>
      </w:tr>
      <w:tr>
        <w:tc>
          <w:tcPr>
            <w:tcW w:type="dxa" w:w="2600"/>
            <w:tcMar>
              <w:top w:w="80" w:type="dxa"/>
              <w:start w:w="120" w:type="dxa"/>
              <w:bottom w:w="80" w:type="dxa"/>
              <w:end w:w="120" w:type="dxa"/>
            </w:tcMar>
            <w:vAlign w:val="center"/>
          </w:tcPr>
          <w:p>
            <w:pPr>
              <w:spacing w:before="0" w:after="0" w:line="252" w:lineRule="auto"/>
            </w:pPr>
            <w:r>
              <w:rPr>
                <w:rFonts w:ascii="Calibri" w:hAnsi="Calibri"/>
                <w:color w:val="000000"/>
                <w:sz w:val="18"/>
              </w:rPr>
              <w:t>Weeks 3-5: API</w:t>
            </w:r>
          </w:p>
        </w:tc>
        <w:tc>
          <w:tcPr>
            <w:tcW w:type="dxa" w:w="6760"/>
            <w:tcMar>
              <w:top w:w="80" w:type="dxa"/>
              <w:start w:w="120" w:type="dxa"/>
              <w:bottom w:w="80" w:type="dxa"/>
              <w:end w:w="120" w:type="dxa"/>
            </w:tcMar>
            <w:vAlign w:val="center"/>
          </w:tcPr>
          <w:p>
            <w:pPr>
              <w:spacing w:before="0" w:after="0" w:line="252" w:lineRule="auto"/>
            </w:pPr>
            <w:r>
              <w:rPr>
                <w:rFonts w:ascii="Calibri" w:hAnsi="Calibri"/>
                <w:color w:val="000000"/>
                <w:sz w:val="18"/>
              </w:rPr>
              <w:t>Implement/gate customer essentials, vendor/rider minimum, notifications, profiles, addresses, cancellation, proof.</w:t>
            </w:r>
          </w:p>
        </w:tc>
      </w:tr>
      <w:tr>
        <w:tc>
          <w:tcPr>
            <w:tcW w:type="dxa" w:w="2600"/>
            <w:tcMar>
              <w:top w:w="80" w:type="dxa"/>
              <w:start w:w="120" w:type="dxa"/>
              <w:bottom w:w="80" w:type="dxa"/>
              <w:end w:w="120" w:type="dxa"/>
            </w:tcMar>
            <w:vAlign w:val="center"/>
          </w:tcPr>
          <w:p>
            <w:pPr>
              <w:spacing w:before="0" w:after="0" w:line="252" w:lineRule="auto"/>
            </w:pPr>
            <w:r>
              <w:rPr>
                <w:rFonts w:ascii="Calibri" w:hAnsi="Calibri"/>
                <w:color w:val="000000"/>
                <w:sz w:val="18"/>
              </w:rPr>
              <w:t>Weeks 4-6: Finance</w:t>
            </w:r>
          </w:p>
        </w:tc>
        <w:tc>
          <w:tcPr>
            <w:tcW w:type="dxa" w:w="6760"/>
            <w:tcMar>
              <w:top w:w="80" w:type="dxa"/>
              <w:start w:w="120" w:type="dxa"/>
              <w:bottom w:w="80" w:type="dxa"/>
              <w:end w:w="120" w:type="dxa"/>
            </w:tcMar>
            <w:vAlign w:val="center"/>
          </w:tcPr>
          <w:p>
            <w:pPr>
              <w:spacing w:before="0" w:after="0" w:line="252" w:lineRule="auto"/>
            </w:pPr>
            <w:r>
              <w:rPr>
                <w:rFonts w:ascii="Calibri" w:hAnsi="Calibri"/>
                <w:color w:val="000000"/>
                <w:sz w:val="18"/>
              </w:rPr>
              <w:t>Idempotent callback, amount/currency validation, reconciliation, chargebacks, production flags, top-up.</w:t>
            </w:r>
          </w:p>
        </w:tc>
      </w:tr>
      <w:tr>
        <w:tc>
          <w:tcPr>
            <w:tcW w:type="dxa" w:w="2600"/>
            <w:tcMar>
              <w:top w:w="80" w:type="dxa"/>
              <w:start w:w="120" w:type="dxa"/>
              <w:bottom w:w="80" w:type="dxa"/>
              <w:end w:w="120" w:type="dxa"/>
            </w:tcMar>
            <w:vAlign w:val="center"/>
          </w:tcPr>
          <w:p>
            <w:pPr>
              <w:spacing w:before="0" w:after="0" w:line="252" w:lineRule="auto"/>
            </w:pPr>
            <w:r>
              <w:rPr>
                <w:rFonts w:ascii="Calibri" w:hAnsi="Calibri"/>
                <w:color w:val="000000"/>
                <w:sz w:val="18"/>
              </w:rPr>
              <w:t>Weeks 5-7: Assurance</w:t>
            </w:r>
          </w:p>
        </w:tc>
        <w:tc>
          <w:tcPr>
            <w:tcW w:type="dxa" w:w="6760"/>
            <w:tcMar>
              <w:top w:w="80" w:type="dxa"/>
              <w:start w:w="120" w:type="dxa"/>
              <w:bottom w:w="80" w:type="dxa"/>
              <w:end w:w="120" w:type="dxa"/>
            </w:tcMar>
            <w:vAlign w:val="center"/>
          </w:tcPr>
          <w:p>
            <w:pPr>
              <w:spacing w:before="0" w:after="0" w:line="252" w:lineRule="auto"/>
            </w:pPr>
            <w:r>
              <w:rPr>
                <w:rFonts w:ascii="Calibri" w:hAnsi="Calibri"/>
                <w:color w:val="000000"/>
                <w:sz w:val="18"/>
              </w:rPr>
              <w:t>Threat model, authorization matrix, workflow/concurrency tests, secret/upload audits.</w:t>
            </w:r>
          </w:p>
        </w:tc>
      </w:tr>
      <w:tr>
        <w:tc>
          <w:tcPr>
            <w:tcW w:type="dxa" w:w="2600"/>
            <w:tcMar>
              <w:top w:w="80" w:type="dxa"/>
              <w:start w:w="120" w:type="dxa"/>
              <w:bottom w:w="80" w:type="dxa"/>
              <w:end w:w="120" w:type="dxa"/>
            </w:tcMar>
            <w:vAlign w:val="center"/>
          </w:tcPr>
          <w:p>
            <w:pPr>
              <w:spacing w:before="0" w:after="0" w:line="252" w:lineRule="auto"/>
            </w:pPr>
            <w:r>
              <w:rPr>
                <w:rFonts w:ascii="Calibri" w:hAnsi="Calibri"/>
                <w:color w:val="000000"/>
                <w:sz w:val="18"/>
              </w:rPr>
              <w:t>Weeks 6-8: Compliance</w:t>
            </w:r>
          </w:p>
        </w:tc>
        <w:tc>
          <w:tcPr>
            <w:tcW w:type="dxa" w:w="6760"/>
            <w:tcMar>
              <w:top w:w="80" w:type="dxa"/>
              <w:start w:w="120" w:type="dxa"/>
              <w:bottom w:w="80" w:type="dxa"/>
              <w:end w:w="120" w:type="dxa"/>
            </w:tcMar>
            <w:vAlign w:val="center"/>
          </w:tcPr>
          <w:p>
            <w:pPr>
              <w:spacing w:before="0" w:after="0" w:line="252" w:lineRule="auto"/>
            </w:pPr>
            <w:r>
              <w:rPr>
                <w:rFonts w:ascii="Calibri" w:hAnsi="Calibri"/>
                <w:color w:val="000000"/>
                <w:sz w:val="18"/>
              </w:rPr>
              <w:t>Notices, data map, retention, rights, vendor terms, fee/refund disclosures, legal review.</w:t>
            </w:r>
          </w:p>
        </w:tc>
      </w:tr>
      <w:tr>
        <w:tc>
          <w:tcPr>
            <w:tcW w:type="dxa" w:w="2600"/>
            <w:tcMar>
              <w:top w:w="80" w:type="dxa"/>
              <w:start w:w="120" w:type="dxa"/>
              <w:bottom w:w="80" w:type="dxa"/>
              <w:end w:w="120" w:type="dxa"/>
            </w:tcMar>
            <w:vAlign w:val="center"/>
          </w:tcPr>
          <w:p>
            <w:pPr>
              <w:spacing w:before="0" w:after="0" w:line="252" w:lineRule="auto"/>
            </w:pPr>
            <w:r>
              <w:rPr>
                <w:rFonts w:ascii="Calibri" w:hAnsi="Calibri"/>
                <w:color w:val="000000"/>
                <w:sz w:val="18"/>
              </w:rPr>
              <w:t>Weeks 8-10: Operations</w:t>
            </w:r>
          </w:p>
        </w:tc>
        <w:tc>
          <w:tcPr>
            <w:tcW w:type="dxa" w:w="6760"/>
            <w:tcMar>
              <w:top w:w="80" w:type="dxa"/>
              <w:start w:w="120" w:type="dxa"/>
              <w:bottom w:w="80" w:type="dxa"/>
              <w:end w:w="120" w:type="dxa"/>
            </w:tcMar>
            <w:vAlign w:val="center"/>
          </w:tcPr>
          <w:p>
            <w:pPr>
              <w:spacing w:before="0" w:after="0" w:line="252" w:lineRule="auto"/>
            </w:pPr>
            <w:r>
              <w:rPr>
                <w:rFonts w:ascii="Calibri" w:hAnsi="Calibri"/>
                <w:color w:val="000000"/>
                <w:sz w:val="18"/>
              </w:rPr>
              <w:t>SLO/RPO/RTO, dashboards, alerts, load test, restore drill, incident/rollback runbooks.</w:t>
            </w:r>
          </w:p>
        </w:tc>
      </w:tr>
      <w:tr>
        <w:tc>
          <w:tcPr>
            <w:tcW w:type="dxa" w:w="2600"/>
            <w:tcMar>
              <w:top w:w="80" w:type="dxa"/>
              <w:start w:w="120" w:type="dxa"/>
              <w:bottom w:w="80" w:type="dxa"/>
              <w:end w:w="120" w:type="dxa"/>
            </w:tcMar>
            <w:vAlign w:val="center"/>
          </w:tcPr>
          <w:p>
            <w:pPr>
              <w:spacing w:before="0" w:after="0" w:line="252" w:lineRule="auto"/>
            </w:pPr>
            <w:r>
              <w:rPr>
                <w:rFonts w:ascii="Calibri" w:hAnsi="Calibri"/>
                <w:color w:val="000000"/>
                <w:sz w:val="18"/>
              </w:rPr>
              <w:t>Weeks 9-11: Mobile</w:t>
            </w:r>
          </w:p>
        </w:tc>
        <w:tc>
          <w:tcPr>
            <w:tcW w:type="dxa" w:w="6760"/>
            <w:tcMar>
              <w:top w:w="80" w:type="dxa"/>
              <w:start w:w="120" w:type="dxa"/>
              <w:bottom w:w="80" w:type="dxa"/>
              <w:end w:w="120" w:type="dxa"/>
            </w:tcMar>
            <w:vAlign w:val="center"/>
          </w:tcPr>
          <w:p>
            <w:pPr>
              <w:spacing w:before="0" w:after="0" w:line="252" w:lineRule="auto"/>
            </w:pPr>
            <w:r>
              <w:rPr>
                <w:rFonts w:ascii="Calibri" w:hAnsi="Calibri"/>
                <w:color w:val="000000"/>
                <w:sz w:val="18"/>
              </w:rPr>
              <w:t>Flutter CI, device matrix, offline/error states, Firebase, signed staging builds, store declarations.</w:t>
            </w:r>
          </w:p>
        </w:tc>
      </w:tr>
      <w:tr>
        <w:tc>
          <w:tcPr>
            <w:tcW w:type="dxa" w:w="2600"/>
            <w:tcMar>
              <w:top w:w="80" w:type="dxa"/>
              <w:start w:w="120" w:type="dxa"/>
              <w:bottom w:w="80" w:type="dxa"/>
              <w:end w:w="120" w:type="dxa"/>
            </w:tcMar>
            <w:vAlign w:val="center"/>
          </w:tcPr>
          <w:p>
            <w:pPr>
              <w:spacing w:before="0" w:after="0" w:line="252" w:lineRule="auto"/>
            </w:pPr>
            <w:r>
              <w:rPr>
                <w:rFonts w:ascii="Calibri" w:hAnsi="Calibri"/>
                <w:color w:val="000000"/>
                <w:sz w:val="18"/>
              </w:rPr>
              <w:t>Week 12: Pilot</w:t>
            </w:r>
          </w:p>
        </w:tc>
        <w:tc>
          <w:tcPr>
            <w:tcW w:type="dxa" w:w="6760"/>
            <w:tcMar>
              <w:top w:w="80" w:type="dxa"/>
              <w:start w:w="120" w:type="dxa"/>
              <w:bottom w:w="80" w:type="dxa"/>
              <w:end w:w="120" w:type="dxa"/>
            </w:tcMar>
            <w:vAlign w:val="center"/>
          </w:tcPr>
          <w:p>
            <w:pPr>
              <w:spacing w:before="0" w:after="0" w:line="252" w:lineRule="auto"/>
            </w:pPr>
            <w:r>
              <w:rPr>
                <w:rFonts w:ascii="Calibri" w:hAnsi="Calibri"/>
                <w:color w:val="000000"/>
                <w:sz w:val="18"/>
              </w:rPr>
              <w:t>Limited districts/vendors/riders, live support, reconciliation, metrics, flags, rollback criteria.</w:t>
            </w:r>
          </w:p>
        </w:tc>
      </w:tr>
    </w:tbl>
    <w:p>
      <w:pPr>
        <w:spacing w:after="40"/>
      </w:pPr>
    </w:p>
    <w:p>
      <w:pPr>
        <w:pStyle w:val="Heading1"/>
        <w:keepNext/>
      </w:pPr>
      <w:r>
        <w:t>10. Evaluation Framework</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1900"/>
        <w:gridCol w:w="4300"/>
        <w:gridCol w:w="3160"/>
      </w:tblGrid>
      <w:tr>
        <w:trPr>
          <w:tblHeader w:val="true"/>
        </w:trPr>
        <w:tc>
          <w:tcPr>
            <w:tcW w:type="dxa" w:w="1900"/>
            <w:shd w:fill="F4F6F9"/>
            <w:tcMar>
              <w:top w:w="80" w:type="dxa"/>
              <w:start w:w="120" w:type="dxa"/>
              <w:bottom w:w="80" w:type="dxa"/>
              <w:end w:w="120" w:type="dxa"/>
            </w:tcMar>
            <w:vAlign w:val="center"/>
          </w:tcPr>
          <w:p>
            <w:pPr>
              <w:spacing w:before="0" w:after="0"/>
            </w:pPr>
            <w:r>
              <w:rPr>
                <w:rFonts w:ascii="Calibri" w:hAnsi="Calibri"/>
                <w:b/>
                <w:color w:val="0B2545"/>
                <w:sz w:val="17"/>
              </w:rPr>
              <w:t>Outcome</w:t>
            </w:r>
          </w:p>
        </w:tc>
        <w:tc>
          <w:tcPr>
            <w:tcW w:type="dxa" w:w="4300"/>
            <w:shd w:fill="F4F6F9"/>
            <w:tcMar>
              <w:top w:w="80" w:type="dxa"/>
              <w:start w:w="120" w:type="dxa"/>
              <w:bottom w:w="80" w:type="dxa"/>
              <w:end w:w="120" w:type="dxa"/>
            </w:tcMar>
            <w:vAlign w:val="center"/>
          </w:tcPr>
          <w:p>
            <w:pPr>
              <w:spacing w:before="0" w:after="0"/>
            </w:pPr>
            <w:r>
              <w:rPr>
                <w:rFonts w:ascii="Calibri" w:hAnsi="Calibri"/>
                <w:b/>
                <w:color w:val="0B2545"/>
                <w:sz w:val="17"/>
              </w:rPr>
              <w:t>Measure</w:t>
            </w:r>
          </w:p>
        </w:tc>
        <w:tc>
          <w:tcPr>
            <w:tcW w:type="dxa" w:w="3160"/>
            <w:shd w:fill="F4F6F9"/>
            <w:tcMar>
              <w:top w:w="80" w:type="dxa"/>
              <w:start w:w="120" w:type="dxa"/>
              <w:bottom w:w="80" w:type="dxa"/>
              <w:end w:w="120" w:type="dxa"/>
            </w:tcMar>
            <w:vAlign w:val="center"/>
          </w:tcPr>
          <w:p>
            <w:pPr>
              <w:spacing w:before="0" w:after="0"/>
            </w:pPr>
            <w:r>
              <w:rPr>
                <w:rFonts w:ascii="Calibri" w:hAnsi="Calibri"/>
                <w:b/>
                <w:color w:val="0B2545"/>
                <w:sz w:val="17"/>
              </w:rPr>
              <w:t>Pilot target</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7"/>
              </w:rPr>
              <w:t>API</w:t>
            </w:r>
          </w:p>
        </w:tc>
        <w:tc>
          <w:tcPr>
            <w:tcW w:type="dxa" w:w="4300"/>
            <w:tcMar>
              <w:top w:w="80" w:type="dxa"/>
              <w:start w:w="120" w:type="dxa"/>
              <w:bottom w:w="80" w:type="dxa"/>
              <w:end w:w="120" w:type="dxa"/>
            </w:tcMar>
            <w:vAlign w:val="center"/>
          </w:tcPr>
          <w:p>
            <w:pPr>
              <w:spacing w:before="0" w:after="0" w:line="252" w:lineRule="auto"/>
            </w:pPr>
            <w:r>
              <w:rPr>
                <w:rFonts w:ascii="Calibri" w:hAnsi="Calibri"/>
                <w:color w:val="000000"/>
                <w:sz w:val="17"/>
              </w:rPr>
              <w:t>Enabled mobile calls with passing contract tests</w:t>
            </w:r>
          </w:p>
        </w:tc>
        <w:tc>
          <w:tcPr>
            <w:tcW w:type="dxa" w:w="3160"/>
            <w:tcMar>
              <w:top w:w="80" w:type="dxa"/>
              <w:start w:w="120" w:type="dxa"/>
              <w:bottom w:w="80" w:type="dxa"/>
              <w:end w:w="120" w:type="dxa"/>
            </w:tcMar>
            <w:vAlign w:val="center"/>
          </w:tcPr>
          <w:p>
            <w:pPr>
              <w:spacing w:before="0" w:after="0" w:line="252" w:lineRule="auto"/>
            </w:pPr>
            <w:r>
              <w:rPr>
                <w:rFonts w:ascii="Calibri" w:hAnsi="Calibri"/>
                <w:color w:val="000000"/>
                <w:sz w:val="17"/>
              </w:rPr>
              <w:t>100 percent</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7"/>
              </w:rPr>
              <w:t>Checkout</w:t>
            </w:r>
          </w:p>
        </w:tc>
        <w:tc>
          <w:tcPr>
            <w:tcW w:type="dxa" w:w="4300"/>
            <w:tcMar>
              <w:top w:w="80" w:type="dxa"/>
              <w:start w:w="120" w:type="dxa"/>
              <w:bottom w:w="80" w:type="dxa"/>
              <w:end w:w="120" w:type="dxa"/>
            </w:tcMar>
            <w:vAlign w:val="center"/>
          </w:tcPr>
          <w:p>
            <w:pPr>
              <w:spacing w:before="0" w:after="0" w:line="252" w:lineRule="auto"/>
            </w:pPr>
            <w:r>
              <w:rPr>
                <w:rFonts w:ascii="Calibri" w:hAnsi="Calibri"/>
                <w:color w:val="000000"/>
                <w:sz w:val="17"/>
              </w:rPr>
              <w:t>Successful orders / valid attempts</w:t>
            </w:r>
          </w:p>
        </w:tc>
        <w:tc>
          <w:tcPr>
            <w:tcW w:type="dxa" w:w="3160"/>
            <w:tcMar>
              <w:top w:w="80" w:type="dxa"/>
              <w:start w:w="120" w:type="dxa"/>
              <w:bottom w:w="80" w:type="dxa"/>
              <w:end w:w="120" w:type="dxa"/>
            </w:tcMar>
            <w:vAlign w:val="center"/>
          </w:tcPr>
          <w:p>
            <w:pPr>
              <w:spacing w:before="0" w:after="0" w:line="252" w:lineRule="auto"/>
            </w:pPr>
            <w:r>
              <w:rPr>
                <w:rFonts w:ascii="Calibri" w:hAnsi="Calibri"/>
                <w:color w:val="000000"/>
                <w:sz w:val="17"/>
              </w:rPr>
              <w:t>&gt;=99 percent excluding abandonment</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7"/>
              </w:rPr>
              <w:t>Stock</w:t>
            </w:r>
          </w:p>
        </w:tc>
        <w:tc>
          <w:tcPr>
            <w:tcW w:type="dxa" w:w="4300"/>
            <w:tcMar>
              <w:top w:w="80" w:type="dxa"/>
              <w:start w:w="120" w:type="dxa"/>
              <w:bottom w:w="80" w:type="dxa"/>
              <w:end w:w="120" w:type="dxa"/>
            </w:tcMar>
            <w:vAlign w:val="center"/>
          </w:tcPr>
          <w:p>
            <w:pPr>
              <w:spacing w:before="0" w:after="0" w:line="252" w:lineRule="auto"/>
            </w:pPr>
            <w:r>
              <w:rPr>
                <w:rFonts w:ascii="Calibri" w:hAnsi="Calibri"/>
                <w:color w:val="000000"/>
                <w:sz w:val="17"/>
              </w:rPr>
              <w:t>Negative or oversold stock</w:t>
            </w:r>
          </w:p>
        </w:tc>
        <w:tc>
          <w:tcPr>
            <w:tcW w:type="dxa" w:w="3160"/>
            <w:tcMar>
              <w:top w:w="80" w:type="dxa"/>
              <w:start w:w="120" w:type="dxa"/>
              <w:bottom w:w="80" w:type="dxa"/>
              <w:end w:w="120" w:type="dxa"/>
            </w:tcMar>
            <w:vAlign w:val="center"/>
          </w:tcPr>
          <w:p>
            <w:pPr>
              <w:spacing w:before="0" w:after="0" w:line="252" w:lineRule="auto"/>
            </w:pPr>
            <w:r>
              <w:rPr>
                <w:rFonts w:ascii="Calibri" w:hAnsi="Calibri"/>
                <w:color w:val="000000"/>
                <w:sz w:val="17"/>
              </w:rPr>
              <w:t>0</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7"/>
              </w:rPr>
              <w:t>Payment</w:t>
            </w:r>
          </w:p>
        </w:tc>
        <w:tc>
          <w:tcPr>
            <w:tcW w:type="dxa" w:w="4300"/>
            <w:tcMar>
              <w:top w:w="80" w:type="dxa"/>
              <w:start w:w="120" w:type="dxa"/>
              <w:bottom w:w="80" w:type="dxa"/>
              <w:end w:w="120" w:type="dxa"/>
            </w:tcMar>
            <w:vAlign w:val="center"/>
          </w:tcPr>
          <w:p>
            <w:pPr>
              <w:spacing w:before="0" w:after="0" w:line="252" w:lineRule="auto"/>
            </w:pPr>
            <w:r>
              <w:rPr>
                <w:rFonts w:ascii="Calibri" w:hAnsi="Calibri"/>
                <w:color w:val="000000"/>
                <w:sz w:val="17"/>
              </w:rPr>
              <w:t>Unreconciled callbacks or duplicate ledger effects</w:t>
            </w:r>
          </w:p>
        </w:tc>
        <w:tc>
          <w:tcPr>
            <w:tcW w:type="dxa" w:w="3160"/>
            <w:tcMar>
              <w:top w:w="80" w:type="dxa"/>
              <w:start w:w="120" w:type="dxa"/>
              <w:bottom w:w="80" w:type="dxa"/>
              <w:end w:w="120" w:type="dxa"/>
            </w:tcMar>
            <w:vAlign w:val="center"/>
          </w:tcPr>
          <w:p>
            <w:pPr>
              <w:spacing w:before="0" w:after="0" w:line="252" w:lineRule="auto"/>
            </w:pPr>
            <w:r>
              <w:rPr>
                <w:rFonts w:ascii="Calibri" w:hAnsi="Calibri"/>
                <w:color w:val="000000"/>
                <w:sz w:val="17"/>
              </w:rPr>
              <w:t>0; daily reconciliation</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7"/>
              </w:rPr>
              <w:t>Delivery</w:t>
            </w:r>
          </w:p>
        </w:tc>
        <w:tc>
          <w:tcPr>
            <w:tcW w:type="dxa" w:w="4300"/>
            <w:tcMar>
              <w:top w:w="80" w:type="dxa"/>
              <w:start w:w="120" w:type="dxa"/>
              <w:bottom w:w="80" w:type="dxa"/>
              <w:end w:w="120" w:type="dxa"/>
            </w:tcMar>
            <w:vAlign w:val="center"/>
          </w:tcPr>
          <w:p>
            <w:pPr>
              <w:spacing w:before="0" w:after="0" w:line="252" w:lineRule="auto"/>
            </w:pPr>
            <w:r>
              <w:rPr>
                <w:rFonts w:ascii="Calibri" w:hAnsi="Calibri"/>
                <w:color w:val="000000"/>
                <w:sz w:val="17"/>
              </w:rPr>
              <w:t>On-time and proof completeness</w:t>
            </w:r>
          </w:p>
        </w:tc>
        <w:tc>
          <w:tcPr>
            <w:tcW w:type="dxa" w:w="3160"/>
            <w:tcMar>
              <w:top w:w="80" w:type="dxa"/>
              <w:start w:w="120" w:type="dxa"/>
              <w:bottom w:w="80" w:type="dxa"/>
              <w:end w:w="120" w:type="dxa"/>
            </w:tcMar>
            <w:vAlign w:val="center"/>
          </w:tcPr>
          <w:p>
            <w:pPr>
              <w:spacing w:before="0" w:after="0" w:line="252" w:lineRule="auto"/>
            </w:pPr>
            <w:r>
              <w:rPr>
                <w:rFonts w:ascii="Calibri" w:hAnsi="Calibri"/>
                <w:color w:val="000000"/>
                <w:sz w:val="17"/>
              </w:rPr>
              <w:t>District target; proof 100 percent</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7"/>
              </w:rPr>
              <w:t>Performance</w:t>
            </w:r>
          </w:p>
        </w:tc>
        <w:tc>
          <w:tcPr>
            <w:tcW w:type="dxa" w:w="4300"/>
            <w:tcMar>
              <w:top w:w="80" w:type="dxa"/>
              <w:start w:w="120" w:type="dxa"/>
              <w:bottom w:w="80" w:type="dxa"/>
              <w:end w:w="120" w:type="dxa"/>
            </w:tcMar>
            <w:vAlign w:val="center"/>
          </w:tcPr>
          <w:p>
            <w:pPr>
              <w:spacing w:before="0" w:after="0" w:line="252" w:lineRule="auto"/>
            </w:pPr>
            <w:r>
              <w:rPr>
                <w:rFonts w:ascii="Calibri" w:hAnsi="Calibri"/>
                <w:color w:val="000000"/>
                <w:sz w:val="17"/>
              </w:rPr>
              <w:t>Server p95 catalog/checkout</w:t>
            </w:r>
          </w:p>
        </w:tc>
        <w:tc>
          <w:tcPr>
            <w:tcW w:type="dxa" w:w="3160"/>
            <w:tcMar>
              <w:top w:w="80" w:type="dxa"/>
              <w:start w:w="120" w:type="dxa"/>
              <w:bottom w:w="80" w:type="dxa"/>
              <w:end w:w="120" w:type="dxa"/>
            </w:tcMar>
            <w:vAlign w:val="center"/>
          </w:tcPr>
          <w:p>
            <w:pPr>
              <w:spacing w:before="0" w:after="0" w:line="252" w:lineRule="auto"/>
            </w:pPr>
            <w:r>
              <w:rPr>
                <w:rFonts w:ascii="Calibri" w:hAnsi="Calibri"/>
                <w:color w:val="000000"/>
                <w:sz w:val="17"/>
              </w:rPr>
              <w:t>&lt;=1.5 s / &lt;=3 s under agreed load</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7"/>
              </w:rPr>
              <w:t>Reliability</w:t>
            </w:r>
          </w:p>
        </w:tc>
        <w:tc>
          <w:tcPr>
            <w:tcW w:type="dxa" w:w="4300"/>
            <w:tcMar>
              <w:top w:w="80" w:type="dxa"/>
              <w:start w:w="120" w:type="dxa"/>
              <w:bottom w:w="80" w:type="dxa"/>
              <w:end w:w="120" w:type="dxa"/>
            </w:tcMar>
            <w:vAlign w:val="center"/>
          </w:tcPr>
          <w:p>
            <w:pPr>
              <w:spacing w:before="0" w:after="0" w:line="252" w:lineRule="auto"/>
            </w:pPr>
            <w:r>
              <w:rPr>
                <w:rFonts w:ascii="Calibri" w:hAnsi="Calibri"/>
                <w:color w:val="000000"/>
                <w:sz w:val="17"/>
              </w:rPr>
              <w:t>Availability and queue age</w:t>
            </w:r>
          </w:p>
        </w:tc>
        <w:tc>
          <w:tcPr>
            <w:tcW w:type="dxa" w:w="3160"/>
            <w:tcMar>
              <w:top w:w="80" w:type="dxa"/>
              <w:start w:w="120" w:type="dxa"/>
              <w:bottom w:w="80" w:type="dxa"/>
              <w:end w:w="120" w:type="dxa"/>
            </w:tcMar>
            <w:vAlign w:val="center"/>
          </w:tcPr>
          <w:p>
            <w:pPr>
              <w:spacing w:before="0" w:after="0" w:line="252" w:lineRule="auto"/>
            </w:pPr>
            <w:r>
              <w:rPr>
                <w:rFonts w:ascii="Calibri" w:hAnsi="Calibri"/>
                <w:color w:val="000000"/>
                <w:sz w:val="17"/>
              </w:rPr>
              <w:t>Approved SLO; no unalerted backlog</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7"/>
              </w:rPr>
              <w:t>Recovery</w:t>
            </w:r>
          </w:p>
        </w:tc>
        <w:tc>
          <w:tcPr>
            <w:tcW w:type="dxa" w:w="4300"/>
            <w:tcMar>
              <w:top w:w="80" w:type="dxa"/>
              <w:start w:w="120" w:type="dxa"/>
              <w:bottom w:w="80" w:type="dxa"/>
              <w:end w:w="120" w:type="dxa"/>
            </w:tcMar>
            <w:vAlign w:val="center"/>
          </w:tcPr>
          <w:p>
            <w:pPr>
              <w:spacing w:before="0" w:after="0" w:line="252" w:lineRule="auto"/>
            </w:pPr>
            <w:r>
              <w:rPr>
                <w:rFonts w:ascii="Calibri" w:hAnsi="Calibri"/>
                <w:color w:val="000000"/>
                <w:sz w:val="17"/>
              </w:rPr>
              <w:t>Restore drill</w:t>
            </w:r>
          </w:p>
        </w:tc>
        <w:tc>
          <w:tcPr>
            <w:tcW w:type="dxa" w:w="3160"/>
            <w:tcMar>
              <w:top w:w="80" w:type="dxa"/>
              <w:start w:w="120" w:type="dxa"/>
              <w:bottom w:w="80" w:type="dxa"/>
              <w:end w:w="120" w:type="dxa"/>
            </w:tcMar>
            <w:vAlign w:val="center"/>
          </w:tcPr>
          <w:p>
            <w:pPr>
              <w:spacing w:before="0" w:after="0" w:line="252" w:lineRule="auto"/>
            </w:pPr>
            <w:r>
              <w:rPr>
                <w:rFonts w:ascii="Calibri" w:hAnsi="Calibri"/>
                <w:color w:val="000000"/>
                <w:sz w:val="17"/>
              </w:rPr>
              <w:t>Pass before pilot and quarterly</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7"/>
              </w:rPr>
              <w:t>Security</w:t>
            </w:r>
          </w:p>
        </w:tc>
        <w:tc>
          <w:tcPr>
            <w:tcW w:type="dxa" w:w="4300"/>
            <w:tcMar>
              <w:top w:w="80" w:type="dxa"/>
              <w:start w:w="120" w:type="dxa"/>
              <w:bottom w:w="80" w:type="dxa"/>
              <w:end w:w="120" w:type="dxa"/>
            </w:tcMar>
            <w:vAlign w:val="center"/>
          </w:tcPr>
          <w:p>
            <w:pPr>
              <w:spacing w:before="0" w:after="0" w:line="252" w:lineRule="auto"/>
            </w:pPr>
            <w:r>
              <w:rPr>
                <w:rFonts w:ascii="Calibri" w:hAnsi="Calibri"/>
                <w:color w:val="000000"/>
                <w:sz w:val="17"/>
              </w:rPr>
              <w:t>Open critical/high findings</w:t>
            </w:r>
          </w:p>
        </w:tc>
        <w:tc>
          <w:tcPr>
            <w:tcW w:type="dxa" w:w="3160"/>
            <w:tcMar>
              <w:top w:w="80" w:type="dxa"/>
              <w:start w:w="120" w:type="dxa"/>
              <w:bottom w:w="80" w:type="dxa"/>
              <w:end w:w="120" w:type="dxa"/>
            </w:tcMar>
            <w:vAlign w:val="center"/>
          </w:tcPr>
          <w:p>
            <w:pPr>
              <w:spacing w:before="0" w:after="0" w:line="252" w:lineRule="auto"/>
            </w:pPr>
            <w:r>
              <w:rPr>
                <w:rFonts w:ascii="Calibri" w:hAnsi="Calibri"/>
                <w:color w:val="000000"/>
                <w:sz w:val="17"/>
              </w:rPr>
              <w:t>0 critical; highs remediated/accepted</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color w:val="000000"/>
                <w:sz w:val="17"/>
              </w:rPr>
              <w:t>Experience</w:t>
            </w:r>
          </w:p>
        </w:tc>
        <w:tc>
          <w:tcPr>
            <w:tcW w:type="dxa" w:w="4300"/>
            <w:tcMar>
              <w:top w:w="80" w:type="dxa"/>
              <w:start w:w="120" w:type="dxa"/>
              <w:bottom w:w="80" w:type="dxa"/>
              <w:end w:w="120" w:type="dxa"/>
            </w:tcMar>
            <w:vAlign w:val="center"/>
          </w:tcPr>
          <w:p>
            <w:pPr>
              <w:spacing w:before="0" w:after="0" w:line="252" w:lineRule="auto"/>
            </w:pPr>
            <w:r>
              <w:rPr>
                <w:rFonts w:ascii="Calibri" w:hAnsi="Calibri"/>
                <w:color w:val="000000"/>
                <w:sz w:val="17"/>
              </w:rPr>
              <w:t>Completion, support, refund reason, crash-free users</w:t>
            </w:r>
          </w:p>
        </w:tc>
        <w:tc>
          <w:tcPr>
            <w:tcW w:type="dxa" w:w="3160"/>
            <w:tcMar>
              <w:top w:w="80" w:type="dxa"/>
              <w:start w:w="120" w:type="dxa"/>
              <w:bottom w:w="80" w:type="dxa"/>
              <w:end w:w="120" w:type="dxa"/>
            </w:tcMar>
            <w:vAlign w:val="center"/>
          </w:tcPr>
          <w:p>
            <w:pPr>
              <w:spacing w:before="0" w:after="0" w:line="252" w:lineRule="auto"/>
            </w:pPr>
            <w:r>
              <w:rPr>
                <w:rFonts w:ascii="Calibri" w:hAnsi="Calibri"/>
                <w:color w:val="000000"/>
                <w:sz w:val="17"/>
              </w:rPr>
              <w:t>Baseline then sprint improvement</w:t>
            </w:r>
          </w:p>
        </w:tc>
      </w:tr>
    </w:tbl>
    <w:p>
      <w:pPr>
        <w:spacing w:after="40"/>
      </w:pPr>
    </w:p>
    <w:p>
      <w:pPr>
        <w:pStyle w:val="Heading1"/>
        <w:keepNext/>
      </w:pPr>
      <w:r>
        <w:t>11. Conclusion</w:t>
      </w:r>
    </w:p>
    <w:p>
      <w:pPr>
        <w:spacing w:before="0"/>
      </w:pPr>
      <w:r>
        <w:rPr>
          <w:rFonts w:ascii="Calibri" w:hAnsi="Calibri"/>
          <w:b w:val="0"/>
          <w:i w:val="0"/>
          <w:color w:val="000000"/>
          <w:sz w:val="22"/>
        </w:rPr>
        <w:t>DailyCart has crossed from prototype to serious application platform. The repository demonstrates coherent Laravel architecture, broad role functionality, local market fit, and deliberate protection of high-risk commerce invariants. Passing tests and the production web build strengthen confidence in the web baseline.</w:t>
      </w:r>
    </w:p>
    <w:p>
      <w:pPr>
        <w:spacing w:before="0"/>
      </w:pPr>
      <w:r>
        <w:rPr>
          <w:rFonts w:ascii="Calibri" w:hAnsi="Calibri"/>
          <w:b w:val="0"/>
          <w:i w:val="0"/>
          <w:color w:val="000000"/>
          <w:sz w:val="22"/>
        </w:rPr>
        <w:t>The next phase should emphasize completion and evidence rather than features. Contract-first API work, financial hardening, mobile verification, privacy/consumer implementation, and operational measurement can convert the existing breadth into a controlled pilot. The modular monolith remains the best balance of safety, velocity, and simplicity until measured scaling or organizational boundaries justify decomposition.</w:t>
      </w:r>
    </w:p>
    <w:p>
      <w:pPr>
        <w:pStyle w:val="Heading1"/>
        <w:keepNext/>
      </w:pPr>
      <w:r>
        <w:t>References</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800"/>
        <w:gridCol w:w="5000"/>
        <w:gridCol w:w="3560"/>
      </w:tblGrid>
      <w:tr>
        <w:trPr>
          <w:tblHeader w:val="true"/>
        </w:trPr>
        <w:tc>
          <w:tcPr>
            <w:tcW w:type="dxa" w:w="800"/>
            <w:shd w:fill="F4F6F9"/>
            <w:tcMar>
              <w:top w:w="80" w:type="dxa"/>
              <w:start w:w="120" w:type="dxa"/>
              <w:bottom w:w="80" w:type="dxa"/>
              <w:end w:w="120" w:type="dxa"/>
            </w:tcMar>
            <w:vAlign w:val="center"/>
          </w:tcPr>
          <w:p>
            <w:pPr>
              <w:spacing w:before="0" w:after="0"/>
            </w:pPr>
            <w:r>
              <w:rPr>
                <w:rFonts w:ascii="Calibri" w:hAnsi="Calibri"/>
                <w:b/>
                <w:color w:val="0B2545"/>
                <w:sz w:val="16"/>
              </w:rPr>
              <w:t>Ref.</w:t>
            </w:r>
          </w:p>
        </w:tc>
        <w:tc>
          <w:tcPr>
            <w:tcW w:type="dxa" w:w="5000"/>
            <w:shd w:fill="F4F6F9"/>
            <w:tcMar>
              <w:top w:w="80" w:type="dxa"/>
              <w:start w:w="120" w:type="dxa"/>
              <w:bottom w:w="80" w:type="dxa"/>
              <w:end w:w="120" w:type="dxa"/>
            </w:tcMar>
            <w:vAlign w:val="center"/>
          </w:tcPr>
          <w:p>
            <w:pPr>
              <w:spacing w:before="0" w:after="0"/>
            </w:pPr>
            <w:r>
              <w:rPr>
                <w:rFonts w:ascii="Calibri" w:hAnsi="Calibri"/>
                <w:b/>
                <w:color w:val="0B2545"/>
                <w:sz w:val="16"/>
              </w:rPr>
              <w:t>Source</w:t>
            </w:r>
          </w:p>
        </w:tc>
        <w:tc>
          <w:tcPr>
            <w:tcW w:type="dxa" w:w="3560"/>
            <w:shd w:fill="F4F6F9"/>
            <w:tcMar>
              <w:top w:w="80" w:type="dxa"/>
              <w:start w:w="120" w:type="dxa"/>
              <w:bottom w:w="80" w:type="dxa"/>
              <w:end w:w="120" w:type="dxa"/>
            </w:tcMar>
            <w:vAlign w:val="center"/>
          </w:tcPr>
          <w:p>
            <w:pPr>
              <w:spacing w:before="0" w:after="0"/>
            </w:pPr>
            <w:r>
              <w:rPr>
                <w:rFonts w:ascii="Calibri" w:hAnsi="Calibri"/>
                <w:b/>
                <w:color w:val="0B2545"/>
                <w:sz w:val="16"/>
              </w:rPr>
              <w:t>URL</w:t>
            </w:r>
          </w:p>
        </w:tc>
      </w:tr>
      <w:tr>
        <w:tc>
          <w:tcPr>
            <w:tcW w:type="dxa" w:w="800"/>
            <w:tcMar>
              <w:top w:w="80" w:type="dxa"/>
              <w:start w:w="120" w:type="dxa"/>
              <w:bottom w:w="80" w:type="dxa"/>
              <w:end w:w="120" w:type="dxa"/>
            </w:tcMar>
            <w:vAlign w:val="center"/>
          </w:tcPr>
          <w:p>
            <w:pPr>
              <w:spacing w:before="0" w:after="0" w:line="252" w:lineRule="auto"/>
            </w:pPr>
            <w:r>
              <w:rPr>
                <w:rFonts w:ascii="Calibri" w:hAnsi="Calibri"/>
                <w:color w:val="000000"/>
                <w:sz w:val="16"/>
              </w:rPr>
              <w:t>[1]</w:t>
            </w:r>
          </w:p>
        </w:tc>
        <w:tc>
          <w:tcPr>
            <w:tcW w:type="dxa" w:w="5000"/>
            <w:tcMar>
              <w:top w:w="80" w:type="dxa"/>
              <w:start w:w="120" w:type="dxa"/>
              <w:bottom w:w="80" w:type="dxa"/>
              <w:end w:w="120" w:type="dxa"/>
            </w:tcMar>
            <w:vAlign w:val="center"/>
          </w:tcPr>
          <w:p>
            <w:pPr>
              <w:spacing w:before="0" w:after="0" w:line="252" w:lineRule="auto"/>
            </w:pPr>
            <w:r>
              <w:rPr>
                <w:rFonts w:ascii="Calibri" w:hAnsi="Calibri"/>
                <w:color w:val="000000"/>
                <w:sz w:val="16"/>
              </w:rPr>
              <w:t>Sri Lanka Department of Census and Statistics. Labour Force Survey Annual Report 2024.</w:t>
            </w:r>
          </w:p>
        </w:tc>
        <w:tc>
          <w:tcPr>
            <w:tcW w:type="dxa" w:w="3560"/>
            <w:tcMar>
              <w:top w:w="80" w:type="dxa"/>
              <w:start w:w="120" w:type="dxa"/>
              <w:bottom w:w="80" w:type="dxa"/>
              <w:end w:w="120" w:type="dxa"/>
            </w:tcMar>
            <w:vAlign w:val="center"/>
          </w:tcPr>
          <w:p>
            <w:pPr>
              <w:spacing w:before="0" w:after="0" w:line="252" w:lineRule="auto"/>
            </w:pPr>
            <w:r>
              <w:rPr>
                <w:rFonts w:ascii="Calibri" w:hAnsi="Calibri"/>
                <w:color w:val="000000"/>
                <w:sz w:val="16"/>
              </w:rPr>
              <w:t>https://www.statistics.gov.lk/Resource/en/LabourForce/Annual_Reports/LFS2024.pdf</w:t>
            </w:r>
          </w:p>
        </w:tc>
      </w:tr>
      <w:tr>
        <w:tc>
          <w:tcPr>
            <w:tcW w:type="dxa" w:w="800"/>
            <w:tcMar>
              <w:top w:w="80" w:type="dxa"/>
              <w:start w:w="120" w:type="dxa"/>
              <w:bottom w:w="80" w:type="dxa"/>
              <w:end w:w="120" w:type="dxa"/>
            </w:tcMar>
            <w:vAlign w:val="center"/>
          </w:tcPr>
          <w:p>
            <w:pPr>
              <w:spacing w:before="0" w:after="0" w:line="252" w:lineRule="auto"/>
            </w:pPr>
            <w:r>
              <w:rPr>
                <w:rFonts w:ascii="Calibri" w:hAnsi="Calibri"/>
                <w:color w:val="000000"/>
                <w:sz w:val="16"/>
              </w:rPr>
              <w:t>[2]</w:t>
            </w:r>
          </w:p>
        </w:tc>
        <w:tc>
          <w:tcPr>
            <w:tcW w:type="dxa" w:w="5000"/>
            <w:tcMar>
              <w:top w:w="80" w:type="dxa"/>
              <w:start w:w="120" w:type="dxa"/>
              <w:bottom w:w="80" w:type="dxa"/>
              <w:end w:w="120" w:type="dxa"/>
            </w:tcMar>
            <w:vAlign w:val="center"/>
          </w:tcPr>
          <w:p>
            <w:pPr>
              <w:spacing w:before="0" w:after="0" w:line="252" w:lineRule="auto"/>
            </w:pPr>
            <w:r>
              <w:rPr>
                <w:rFonts w:ascii="Calibri" w:hAnsi="Calibri"/>
                <w:color w:val="000000"/>
                <w:sz w:val="16"/>
              </w:rPr>
              <w:t>U.S. International Trade Administration. Sri Lanka - eCommerce.</w:t>
            </w:r>
          </w:p>
        </w:tc>
        <w:tc>
          <w:tcPr>
            <w:tcW w:type="dxa" w:w="3560"/>
            <w:tcMar>
              <w:top w:w="80" w:type="dxa"/>
              <w:start w:w="120" w:type="dxa"/>
              <w:bottom w:w="80" w:type="dxa"/>
              <w:end w:w="120" w:type="dxa"/>
            </w:tcMar>
            <w:vAlign w:val="center"/>
          </w:tcPr>
          <w:p>
            <w:pPr>
              <w:spacing w:before="0" w:after="0" w:line="252" w:lineRule="auto"/>
            </w:pPr>
            <w:r>
              <w:rPr>
                <w:rFonts w:ascii="Calibri" w:hAnsi="Calibri"/>
                <w:color w:val="000000"/>
                <w:sz w:val="16"/>
              </w:rPr>
              <w:t>https://www.trade.gov/country-commercial-guides/sri-lanka-ecommerce</w:t>
            </w:r>
          </w:p>
        </w:tc>
      </w:tr>
      <w:tr>
        <w:tc>
          <w:tcPr>
            <w:tcW w:type="dxa" w:w="800"/>
            <w:tcMar>
              <w:top w:w="80" w:type="dxa"/>
              <w:start w:w="120" w:type="dxa"/>
              <w:bottom w:w="80" w:type="dxa"/>
              <w:end w:w="120" w:type="dxa"/>
            </w:tcMar>
            <w:vAlign w:val="center"/>
          </w:tcPr>
          <w:p>
            <w:pPr>
              <w:spacing w:before="0" w:after="0" w:line="252" w:lineRule="auto"/>
            </w:pPr>
            <w:r>
              <w:rPr>
                <w:rFonts w:ascii="Calibri" w:hAnsi="Calibri"/>
                <w:color w:val="000000"/>
                <w:sz w:val="16"/>
              </w:rPr>
              <w:t>[3]</w:t>
            </w:r>
          </w:p>
        </w:tc>
        <w:tc>
          <w:tcPr>
            <w:tcW w:type="dxa" w:w="5000"/>
            <w:tcMar>
              <w:top w:w="80" w:type="dxa"/>
              <w:start w:w="120" w:type="dxa"/>
              <w:bottom w:w="80" w:type="dxa"/>
              <w:end w:w="120" w:type="dxa"/>
            </w:tcMar>
            <w:vAlign w:val="center"/>
          </w:tcPr>
          <w:p>
            <w:pPr>
              <w:spacing w:before="0" w:after="0" w:line="252" w:lineRule="auto"/>
            </w:pPr>
            <w:r>
              <w:rPr>
                <w:rFonts w:ascii="Calibri" w:hAnsi="Calibri"/>
                <w:color w:val="000000"/>
                <w:sz w:val="16"/>
              </w:rPr>
              <w:t>Central Bank of Sri Lanka. Annual Economic Review 2025.</w:t>
            </w:r>
          </w:p>
        </w:tc>
        <w:tc>
          <w:tcPr>
            <w:tcW w:type="dxa" w:w="3560"/>
            <w:tcMar>
              <w:top w:w="80" w:type="dxa"/>
              <w:start w:w="120" w:type="dxa"/>
              <w:bottom w:w="80" w:type="dxa"/>
              <w:end w:w="120" w:type="dxa"/>
            </w:tcMar>
            <w:vAlign w:val="center"/>
          </w:tcPr>
          <w:p>
            <w:pPr>
              <w:spacing w:before="0" w:after="0" w:line="252" w:lineRule="auto"/>
            </w:pPr>
            <w:r>
              <w:rPr>
                <w:rFonts w:ascii="Calibri" w:hAnsi="Calibri"/>
                <w:color w:val="000000"/>
                <w:sz w:val="16"/>
              </w:rPr>
              <w:t>https://www.cbsl.gov.lk/sites/default/files/cbslweb_documents/publications/aer/2025/en/Full_Text.pdf</w:t>
            </w:r>
          </w:p>
        </w:tc>
      </w:tr>
      <w:tr>
        <w:tc>
          <w:tcPr>
            <w:tcW w:type="dxa" w:w="800"/>
            <w:tcMar>
              <w:top w:w="80" w:type="dxa"/>
              <w:start w:w="120" w:type="dxa"/>
              <w:bottom w:w="80" w:type="dxa"/>
              <w:end w:w="120" w:type="dxa"/>
            </w:tcMar>
            <w:vAlign w:val="center"/>
          </w:tcPr>
          <w:p>
            <w:pPr>
              <w:spacing w:before="0" w:after="0" w:line="252" w:lineRule="auto"/>
            </w:pPr>
            <w:r>
              <w:rPr>
                <w:rFonts w:ascii="Calibri" w:hAnsi="Calibri"/>
                <w:color w:val="000000"/>
                <w:sz w:val="16"/>
              </w:rPr>
              <w:t>[4]</w:t>
            </w:r>
          </w:p>
        </w:tc>
        <w:tc>
          <w:tcPr>
            <w:tcW w:type="dxa" w:w="5000"/>
            <w:tcMar>
              <w:top w:w="80" w:type="dxa"/>
              <w:start w:w="120" w:type="dxa"/>
              <w:bottom w:w="80" w:type="dxa"/>
              <w:end w:w="120" w:type="dxa"/>
            </w:tcMar>
            <w:vAlign w:val="center"/>
          </w:tcPr>
          <w:p>
            <w:pPr>
              <w:spacing w:before="0" w:after="0" w:line="252" w:lineRule="auto"/>
            </w:pPr>
            <w:r>
              <w:rPr>
                <w:rFonts w:ascii="Calibri" w:hAnsi="Calibri"/>
                <w:color w:val="000000"/>
                <w:sz w:val="16"/>
              </w:rPr>
              <w:t>Laravel. Authentication, version 12.x.</w:t>
            </w:r>
          </w:p>
        </w:tc>
        <w:tc>
          <w:tcPr>
            <w:tcW w:type="dxa" w:w="3560"/>
            <w:tcMar>
              <w:top w:w="80" w:type="dxa"/>
              <w:start w:w="120" w:type="dxa"/>
              <w:bottom w:w="80" w:type="dxa"/>
              <w:end w:w="120" w:type="dxa"/>
            </w:tcMar>
            <w:vAlign w:val="center"/>
          </w:tcPr>
          <w:p>
            <w:pPr>
              <w:spacing w:before="0" w:after="0" w:line="252" w:lineRule="auto"/>
            </w:pPr>
            <w:r>
              <w:rPr>
                <w:rFonts w:ascii="Calibri" w:hAnsi="Calibri"/>
                <w:color w:val="000000"/>
                <w:sz w:val="16"/>
              </w:rPr>
              <w:t>https://laravel.com/docs/12.x/authentication</w:t>
            </w:r>
          </w:p>
        </w:tc>
      </w:tr>
      <w:tr>
        <w:tc>
          <w:tcPr>
            <w:tcW w:type="dxa" w:w="800"/>
            <w:tcMar>
              <w:top w:w="80" w:type="dxa"/>
              <w:start w:w="120" w:type="dxa"/>
              <w:bottom w:w="80" w:type="dxa"/>
              <w:end w:w="120" w:type="dxa"/>
            </w:tcMar>
            <w:vAlign w:val="center"/>
          </w:tcPr>
          <w:p>
            <w:pPr>
              <w:spacing w:before="0" w:after="0" w:line="252" w:lineRule="auto"/>
            </w:pPr>
            <w:r>
              <w:rPr>
                <w:rFonts w:ascii="Calibri" w:hAnsi="Calibri"/>
                <w:color w:val="000000"/>
                <w:sz w:val="16"/>
              </w:rPr>
              <w:t>[5]</w:t>
            </w:r>
          </w:p>
        </w:tc>
        <w:tc>
          <w:tcPr>
            <w:tcW w:type="dxa" w:w="5000"/>
            <w:tcMar>
              <w:top w:w="80" w:type="dxa"/>
              <w:start w:w="120" w:type="dxa"/>
              <w:bottom w:w="80" w:type="dxa"/>
              <w:end w:w="120" w:type="dxa"/>
            </w:tcMar>
            <w:vAlign w:val="center"/>
          </w:tcPr>
          <w:p>
            <w:pPr>
              <w:spacing w:before="0" w:after="0" w:line="252" w:lineRule="auto"/>
            </w:pPr>
            <w:r>
              <w:rPr>
                <w:rFonts w:ascii="Calibri" w:hAnsi="Calibri"/>
                <w:color w:val="000000"/>
                <w:sz w:val="16"/>
              </w:rPr>
              <w:t>Laravel. Queues, version 12.x.</w:t>
            </w:r>
          </w:p>
        </w:tc>
        <w:tc>
          <w:tcPr>
            <w:tcW w:type="dxa" w:w="3560"/>
            <w:tcMar>
              <w:top w:w="80" w:type="dxa"/>
              <w:start w:w="120" w:type="dxa"/>
              <w:bottom w:w="80" w:type="dxa"/>
              <w:end w:w="120" w:type="dxa"/>
            </w:tcMar>
            <w:vAlign w:val="center"/>
          </w:tcPr>
          <w:p>
            <w:pPr>
              <w:spacing w:before="0" w:after="0" w:line="252" w:lineRule="auto"/>
            </w:pPr>
            <w:r>
              <w:rPr>
                <w:rFonts w:ascii="Calibri" w:hAnsi="Calibri"/>
                <w:color w:val="000000"/>
                <w:sz w:val="16"/>
              </w:rPr>
              <w:t>https://laravel.com/docs/12.x/queues</w:t>
            </w:r>
          </w:p>
        </w:tc>
      </w:tr>
      <w:tr>
        <w:tc>
          <w:tcPr>
            <w:tcW w:type="dxa" w:w="800"/>
            <w:tcMar>
              <w:top w:w="80" w:type="dxa"/>
              <w:start w:w="120" w:type="dxa"/>
              <w:bottom w:w="80" w:type="dxa"/>
              <w:end w:w="120" w:type="dxa"/>
            </w:tcMar>
            <w:vAlign w:val="center"/>
          </w:tcPr>
          <w:p>
            <w:pPr>
              <w:spacing w:before="0" w:after="0" w:line="252" w:lineRule="auto"/>
            </w:pPr>
            <w:r>
              <w:rPr>
                <w:rFonts w:ascii="Calibri" w:hAnsi="Calibri"/>
                <w:color w:val="000000"/>
                <w:sz w:val="16"/>
              </w:rPr>
              <w:t>[6]</w:t>
            </w:r>
          </w:p>
        </w:tc>
        <w:tc>
          <w:tcPr>
            <w:tcW w:type="dxa" w:w="5000"/>
            <w:tcMar>
              <w:top w:w="80" w:type="dxa"/>
              <w:start w:w="120" w:type="dxa"/>
              <w:bottom w:w="80" w:type="dxa"/>
              <w:end w:w="120" w:type="dxa"/>
            </w:tcMar>
            <w:vAlign w:val="center"/>
          </w:tcPr>
          <w:p>
            <w:pPr>
              <w:spacing w:before="0" w:after="0" w:line="252" w:lineRule="auto"/>
            </w:pPr>
            <w:r>
              <w:rPr>
                <w:rFonts w:ascii="Calibri" w:hAnsi="Calibri"/>
                <w:color w:val="000000"/>
                <w:sz w:val="16"/>
              </w:rPr>
              <w:t>Oracle MySQL. InnoDB transaction isolation and locking reads.</w:t>
            </w:r>
          </w:p>
        </w:tc>
        <w:tc>
          <w:tcPr>
            <w:tcW w:type="dxa" w:w="3560"/>
            <w:tcMar>
              <w:top w:w="80" w:type="dxa"/>
              <w:start w:w="120" w:type="dxa"/>
              <w:bottom w:w="80" w:type="dxa"/>
              <w:end w:w="120" w:type="dxa"/>
            </w:tcMar>
            <w:vAlign w:val="center"/>
          </w:tcPr>
          <w:p>
            <w:pPr>
              <w:spacing w:before="0" w:after="0" w:line="252" w:lineRule="auto"/>
            </w:pPr>
            <w:r>
              <w:rPr>
                <w:rFonts w:ascii="Calibri" w:hAnsi="Calibri"/>
                <w:color w:val="000000"/>
                <w:sz w:val="16"/>
              </w:rPr>
              <w:t>https://dev.mysql.com/doc/refman/8.0/en/innodb-transaction-isolation-levels.html</w:t>
            </w:r>
          </w:p>
        </w:tc>
      </w:tr>
      <w:tr>
        <w:tc>
          <w:tcPr>
            <w:tcW w:type="dxa" w:w="800"/>
            <w:tcMar>
              <w:top w:w="80" w:type="dxa"/>
              <w:start w:w="120" w:type="dxa"/>
              <w:bottom w:w="80" w:type="dxa"/>
              <w:end w:w="120" w:type="dxa"/>
            </w:tcMar>
            <w:vAlign w:val="center"/>
          </w:tcPr>
          <w:p>
            <w:pPr>
              <w:spacing w:before="0" w:after="0" w:line="252" w:lineRule="auto"/>
            </w:pPr>
            <w:r>
              <w:rPr>
                <w:rFonts w:ascii="Calibri" w:hAnsi="Calibri"/>
                <w:color w:val="000000"/>
                <w:sz w:val="16"/>
              </w:rPr>
              <w:t>[7]</w:t>
            </w:r>
          </w:p>
        </w:tc>
        <w:tc>
          <w:tcPr>
            <w:tcW w:type="dxa" w:w="5000"/>
            <w:tcMar>
              <w:top w:w="80" w:type="dxa"/>
              <w:start w:w="120" w:type="dxa"/>
              <w:bottom w:w="80" w:type="dxa"/>
              <w:end w:w="120" w:type="dxa"/>
            </w:tcMar>
            <w:vAlign w:val="center"/>
          </w:tcPr>
          <w:p>
            <w:pPr>
              <w:spacing w:before="0" w:after="0" w:line="252" w:lineRule="auto"/>
            </w:pPr>
            <w:r>
              <w:rPr>
                <w:rFonts w:ascii="Calibri" w:hAnsi="Calibri"/>
                <w:color w:val="000000"/>
                <w:sz w:val="16"/>
              </w:rPr>
              <w:t>OWASP. API Security Top 10 - 2023.</w:t>
            </w:r>
          </w:p>
        </w:tc>
        <w:tc>
          <w:tcPr>
            <w:tcW w:type="dxa" w:w="3560"/>
            <w:tcMar>
              <w:top w:w="80" w:type="dxa"/>
              <w:start w:w="120" w:type="dxa"/>
              <w:bottom w:w="80" w:type="dxa"/>
              <w:end w:w="120" w:type="dxa"/>
            </w:tcMar>
            <w:vAlign w:val="center"/>
          </w:tcPr>
          <w:p>
            <w:pPr>
              <w:spacing w:before="0" w:after="0" w:line="252" w:lineRule="auto"/>
            </w:pPr>
            <w:r>
              <w:rPr>
                <w:rFonts w:ascii="Calibri" w:hAnsi="Calibri"/>
                <w:color w:val="000000"/>
                <w:sz w:val="16"/>
              </w:rPr>
              <w:t>https://owasp.org/API-Security/editions/2023/en/0x00-header/</w:t>
            </w:r>
          </w:p>
        </w:tc>
      </w:tr>
      <w:tr>
        <w:tc>
          <w:tcPr>
            <w:tcW w:type="dxa" w:w="800"/>
            <w:tcMar>
              <w:top w:w="80" w:type="dxa"/>
              <w:start w:w="120" w:type="dxa"/>
              <w:bottom w:w="80" w:type="dxa"/>
              <w:end w:w="120" w:type="dxa"/>
            </w:tcMar>
            <w:vAlign w:val="center"/>
          </w:tcPr>
          <w:p>
            <w:pPr>
              <w:spacing w:before="0" w:after="0" w:line="252" w:lineRule="auto"/>
            </w:pPr>
            <w:r>
              <w:rPr>
                <w:rFonts w:ascii="Calibri" w:hAnsi="Calibri"/>
                <w:color w:val="000000"/>
                <w:sz w:val="16"/>
              </w:rPr>
              <w:t>[8]</w:t>
            </w:r>
          </w:p>
        </w:tc>
        <w:tc>
          <w:tcPr>
            <w:tcW w:type="dxa" w:w="5000"/>
            <w:tcMar>
              <w:top w:w="80" w:type="dxa"/>
              <w:start w:w="120" w:type="dxa"/>
              <w:bottom w:w="80" w:type="dxa"/>
              <w:end w:w="120" w:type="dxa"/>
            </w:tcMar>
            <w:vAlign w:val="center"/>
          </w:tcPr>
          <w:p>
            <w:pPr>
              <w:spacing w:before="0" w:after="0" w:line="252" w:lineRule="auto"/>
            </w:pPr>
            <w:r>
              <w:rPr>
                <w:rFonts w:ascii="Calibri" w:hAnsi="Calibri"/>
                <w:color w:val="000000"/>
                <w:sz w:val="16"/>
              </w:rPr>
              <w:t>PayHere. Checkout API and callback signature verification.</w:t>
            </w:r>
          </w:p>
        </w:tc>
        <w:tc>
          <w:tcPr>
            <w:tcW w:type="dxa" w:w="3560"/>
            <w:tcMar>
              <w:top w:w="80" w:type="dxa"/>
              <w:start w:w="120" w:type="dxa"/>
              <w:bottom w:w="80" w:type="dxa"/>
              <w:end w:w="120" w:type="dxa"/>
            </w:tcMar>
            <w:vAlign w:val="center"/>
          </w:tcPr>
          <w:p>
            <w:pPr>
              <w:spacing w:before="0" w:after="0" w:line="252" w:lineRule="auto"/>
            </w:pPr>
            <w:r>
              <w:rPr>
                <w:rFonts w:ascii="Calibri" w:hAnsi="Calibri"/>
                <w:color w:val="000000"/>
                <w:sz w:val="16"/>
              </w:rPr>
              <w:t>https://support.payhere.lk/api-%26-mobile-sdk/checkout-api</w:t>
            </w:r>
          </w:p>
        </w:tc>
      </w:tr>
      <w:tr>
        <w:tc>
          <w:tcPr>
            <w:tcW w:type="dxa" w:w="800"/>
            <w:tcMar>
              <w:top w:w="80" w:type="dxa"/>
              <w:start w:w="120" w:type="dxa"/>
              <w:bottom w:w="80" w:type="dxa"/>
              <w:end w:w="120" w:type="dxa"/>
            </w:tcMar>
            <w:vAlign w:val="center"/>
          </w:tcPr>
          <w:p>
            <w:pPr>
              <w:spacing w:before="0" w:after="0" w:line="252" w:lineRule="auto"/>
            </w:pPr>
            <w:r>
              <w:rPr>
                <w:rFonts w:ascii="Calibri" w:hAnsi="Calibri"/>
                <w:color w:val="000000"/>
                <w:sz w:val="16"/>
              </w:rPr>
              <w:t>[9]</w:t>
            </w:r>
          </w:p>
        </w:tc>
        <w:tc>
          <w:tcPr>
            <w:tcW w:type="dxa" w:w="5000"/>
            <w:tcMar>
              <w:top w:w="80" w:type="dxa"/>
              <w:start w:w="120" w:type="dxa"/>
              <w:bottom w:w="80" w:type="dxa"/>
              <w:end w:w="120" w:type="dxa"/>
            </w:tcMar>
            <w:vAlign w:val="center"/>
          </w:tcPr>
          <w:p>
            <w:pPr>
              <w:spacing w:before="0" w:after="0" w:line="252" w:lineRule="auto"/>
            </w:pPr>
            <w:r>
              <w:rPr>
                <w:rFonts w:ascii="Calibri" w:hAnsi="Calibri"/>
                <w:color w:val="000000"/>
                <w:sz w:val="16"/>
              </w:rPr>
              <w:t>Google. Maps Platform API security best practices.</w:t>
            </w:r>
          </w:p>
        </w:tc>
        <w:tc>
          <w:tcPr>
            <w:tcW w:type="dxa" w:w="3560"/>
            <w:tcMar>
              <w:top w:w="80" w:type="dxa"/>
              <w:start w:w="120" w:type="dxa"/>
              <w:bottom w:w="80" w:type="dxa"/>
              <w:end w:w="120" w:type="dxa"/>
            </w:tcMar>
            <w:vAlign w:val="center"/>
          </w:tcPr>
          <w:p>
            <w:pPr>
              <w:spacing w:before="0" w:after="0" w:line="252" w:lineRule="auto"/>
            </w:pPr>
            <w:r>
              <w:rPr>
                <w:rFonts w:ascii="Calibri" w:hAnsi="Calibri"/>
                <w:color w:val="000000"/>
                <w:sz w:val="16"/>
              </w:rPr>
              <w:t>https://developers.google.com/maps/api-security-best-practices</w:t>
            </w:r>
          </w:p>
        </w:tc>
      </w:tr>
      <w:tr>
        <w:tc>
          <w:tcPr>
            <w:tcW w:type="dxa" w:w="800"/>
            <w:tcMar>
              <w:top w:w="80" w:type="dxa"/>
              <w:start w:w="120" w:type="dxa"/>
              <w:bottom w:w="80" w:type="dxa"/>
              <w:end w:w="120" w:type="dxa"/>
            </w:tcMar>
            <w:vAlign w:val="center"/>
          </w:tcPr>
          <w:p>
            <w:pPr>
              <w:spacing w:before="0" w:after="0" w:line="252" w:lineRule="auto"/>
            </w:pPr>
            <w:r>
              <w:rPr>
                <w:rFonts w:ascii="Calibri" w:hAnsi="Calibri"/>
                <w:color w:val="000000"/>
                <w:sz w:val="16"/>
              </w:rPr>
              <w:t>[10]</w:t>
            </w:r>
          </w:p>
        </w:tc>
        <w:tc>
          <w:tcPr>
            <w:tcW w:type="dxa" w:w="5000"/>
            <w:tcMar>
              <w:top w:w="80" w:type="dxa"/>
              <w:start w:w="120" w:type="dxa"/>
              <w:bottom w:w="80" w:type="dxa"/>
              <w:end w:w="120" w:type="dxa"/>
            </w:tcMar>
            <w:vAlign w:val="center"/>
          </w:tcPr>
          <w:p>
            <w:pPr>
              <w:spacing w:before="0" w:after="0" w:line="252" w:lineRule="auto"/>
            </w:pPr>
            <w:r>
              <w:rPr>
                <w:rFonts w:ascii="Calibri" w:hAnsi="Calibri"/>
                <w:color w:val="000000"/>
                <w:sz w:val="16"/>
              </w:rPr>
              <w:t>Flutter. Guide to app architecture.</w:t>
            </w:r>
          </w:p>
        </w:tc>
        <w:tc>
          <w:tcPr>
            <w:tcW w:type="dxa" w:w="3560"/>
            <w:tcMar>
              <w:top w:w="80" w:type="dxa"/>
              <w:start w:w="120" w:type="dxa"/>
              <w:bottom w:w="80" w:type="dxa"/>
              <w:end w:w="120" w:type="dxa"/>
            </w:tcMar>
            <w:vAlign w:val="center"/>
          </w:tcPr>
          <w:p>
            <w:pPr>
              <w:spacing w:before="0" w:after="0" w:line="252" w:lineRule="auto"/>
            </w:pPr>
            <w:r>
              <w:rPr>
                <w:rFonts w:ascii="Calibri" w:hAnsi="Calibri"/>
                <w:color w:val="000000"/>
                <w:sz w:val="16"/>
              </w:rPr>
              <w:t>https://docs.flutter.dev/app-architecture/guide</w:t>
            </w:r>
          </w:p>
        </w:tc>
      </w:tr>
      <w:tr>
        <w:tc>
          <w:tcPr>
            <w:tcW w:type="dxa" w:w="800"/>
            <w:tcMar>
              <w:top w:w="80" w:type="dxa"/>
              <w:start w:w="120" w:type="dxa"/>
              <w:bottom w:w="80" w:type="dxa"/>
              <w:end w:w="120" w:type="dxa"/>
            </w:tcMar>
            <w:vAlign w:val="center"/>
          </w:tcPr>
          <w:p>
            <w:pPr>
              <w:spacing w:before="0" w:after="0" w:line="252" w:lineRule="auto"/>
            </w:pPr>
            <w:r>
              <w:rPr>
                <w:rFonts w:ascii="Calibri" w:hAnsi="Calibri"/>
                <w:color w:val="000000"/>
                <w:sz w:val="16"/>
              </w:rPr>
              <w:t>[11]</w:t>
            </w:r>
          </w:p>
        </w:tc>
        <w:tc>
          <w:tcPr>
            <w:tcW w:type="dxa" w:w="5000"/>
            <w:tcMar>
              <w:top w:w="80" w:type="dxa"/>
              <w:start w:w="120" w:type="dxa"/>
              <w:bottom w:w="80" w:type="dxa"/>
              <w:end w:w="120" w:type="dxa"/>
            </w:tcMar>
            <w:vAlign w:val="center"/>
          </w:tcPr>
          <w:p>
            <w:pPr>
              <w:spacing w:before="0" w:after="0" w:line="252" w:lineRule="auto"/>
            </w:pPr>
            <w:r>
              <w:rPr>
                <w:rFonts w:ascii="Calibri" w:hAnsi="Calibri"/>
                <w:color w:val="000000"/>
                <w:sz w:val="16"/>
              </w:rPr>
              <w:t>Government of Sri Lanka. Personal Data Protection Act, No. 9 of 2022.</w:t>
            </w:r>
          </w:p>
        </w:tc>
        <w:tc>
          <w:tcPr>
            <w:tcW w:type="dxa" w:w="3560"/>
            <w:tcMar>
              <w:top w:w="80" w:type="dxa"/>
              <w:start w:w="120" w:type="dxa"/>
              <w:bottom w:w="80" w:type="dxa"/>
              <w:end w:w="120" w:type="dxa"/>
            </w:tcMar>
            <w:vAlign w:val="center"/>
          </w:tcPr>
          <w:p>
            <w:pPr>
              <w:spacing w:before="0" w:after="0" w:line="252" w:lineRule="auto"/>
            </w:pPr>
            <w:r>
              <w:rPr>
                <w:rFonts w:ascii="Calibri" w:hAnsi="Calibri"/>
                <w:color w:val="000000"/>
                <w:sz w:val="16"/>
              </w:rPr>
              <w:t>https://www.documents.gov.lk/view/act/2022/3/09-2022_E.pdf</w:t>
            </w:r>
          </w:p>
        </w:tc>
      </w:tr>
      <w:tr>
        <w:tc>
          <w:tcPr>
            <w:tcW w:type="dxa" w:w="800"/>
            <w:tcMar>
              <w:top w:w="80" w:type="dxa"/>
              <w:start w:w="120" w:type="dxa"/>
              <w:bottom w:w="80" w:type="dxa"/>
              <w:end w:w="120" w:type="dxa"/>
            </w:tcMar>
            <w:vAlign w:val="center"/>
          </w:tcPr>
          <w:p>
            <w:pPr>
              <w:spacing w:before="0" w:after="0" w:line="252" w:lineRule="auto"/>
            </w:pPr>
            <w:r>
              <w:rPr>
                <w:rFonts w:ascii="Calibri" w:hAnsi="Calibri"/>
                <w:color w:val="000000"/>
                <w:sz w:val="16"/>
              </w:rPr>
              <w:t>[12]</w:t>
            </w:r>
          </w:p>
        </w:tc>
        <w:tc>
          <w:tcPr>
            <w:tcW w:type="dxa" w:w="5000"/>
            <w:tcMar>
              <w:top w:w="80" w:type="dxa"/>
              <w:start w:w="120" w:type="dxa"/>
              <w:bottom w:w="80" w:type="dxa"/>
              <w:end w:w="120" w:type="dxa"/>
            </w:tcMar>
            <w:vAlign w:val="center"/>
          </w:tcPr>
          <w:p>
            <w:pPr>
              <w:spacing w:before="0" w:after="0" w:line="252" w:lineRule="auto"/>
            </w:pPr>
            <w:r>
              <w:rPr>
                <w:rFonts w:ascii="Calibri" w:hAnsi="Calibri"/>
                <w:color w:val="000000"/>
                <w:sz w:val="16"/>
              </w:rPr>
              <w:t>Data Protection Authority of Sri Lanka. PDPA operational dates.</w:t>
            </w:r>
          </w:p>
        </w:tc>
        <w:tc>
          <w:tcPr>
            <w:tcW w:type="dxa" w:w="3560"/>
            <w:tcMar>
              <w:top w:w="80" w:type="dxa"/>
              <w:start w:w="120" w:type="dxa"/>
              <w:bottom w:w="80" w:type="dxa"/>
              <w:end w:w="120" w:type="dxa"/>
            </w:tcMar>
            <w:vAlign w:val="center"/>
          </w:tcPr>
          <w:p>
            <w:pPr>
              <w:spacing w:before="0" w:after="0" w:line="252" w:lineRule="auto"/>
            </w:pPr>
            <w:r>
              <w:rPr>
                <w:rFonts w:ascii="Calibri" w:hAnsi="Calibri"/>
                <w:color w:val="000000"/>
                <w:sz w:val="16"/>
              </w:rPr>
              <w:t>https://www.dpa.gov.lk/est.php</w:t>
            </w:r>
          </w:p>
        </w:tc>
      </w:tr>
      <w:tr>
        <w:tc>
          <w:tcPr>
            <w:tcW w:type="dxa" w:w="800"/>
            <w:tcMar>
              <w:top w:w="80" w:type="dxa"/>
              <w:start w:w="120" w:type="dxa"/>
              <w:bottom w:w="80" w:type="dxa"/>
              <w:end w:w="120" w:type="dxa"/>
            </w:tcMar>
            <w:vAlign w:val="center"/>
          </w:tcPr>
          <w:p>
            <w:pPr>
              <w:spacing w:before="0" w:after="0" w:line="252" w:lineRule="auto"/>
            </w:pPr>
            <w:r>
              <w:rPr>
                <w:rFonts w:ascii="Calibri" w:hAnsi="Calibri"/>
                <w:color w:val="000000"/>
                <w:sz w:val="16"/>
              </w:rPr>
              <w:t>[13]</w:t>
            </w:r>
          </w:p>
        </w:tc>
        <w:tc>
          <w:tcPr>
            <w:tcW w:type="dxa" w:w="5000"/>
            <w:tcMar>
              <w:top w:w="80" w:type="dxa"/>
              <w:start w:w="120" w:type="dxa"/>
              <w:bottom w:w="80" w:type="dxa"/>
              <w:end w:w="120" w:type="dxa"/>
            </w:tcMar>
            <w:vAlign w:val="center"/>
          </w:tcPr>
          <w:p>
            <w:pPr>
              <w:spacing w:before="0" w:after="0" w:line="252" w:lineRule="auto"/>
            </w:pPr>
            <w:r>
              <w:rPr>
                <w:rFonts w:ascii="Calibri" w:hAnsi="Calibri"/>
                <w:color w:val="000000"/>
                <w:sz w:val="16"/>
              </w:rPr>
              <w:t>Consumer Affairs Authority. Direction 91 for e-commerce.</w:t>
            </w:r>
          </w:p>
        </w:tc>
        <w:tc>
          <w:tcPr>
            <w:tcW w:type="dxa" w:w="3560"/>
            <w:tcMar>
              <w:top w:w="80" w:type="dxa"/>
              <w:start w:w="120" w:type="dxa"/>
              <w:bottom w:w="80" w:type="dxa"/>
              <w:end w:w="120" w:type="dxa"/>
            </w:tcMar>
            <w:vAlign w:val="center"/>
          </w:tcPr>
          <w:p>
            <w:pPr>
              <w:spacing w:before="0" w:after="0" w:line="252" w:lineRule="auto"/>
            </w:pPr>
            <w:r>
              <w:rPr>
                <w:rFonts w:ascii="Calibri" w:hAnsi="Calibri"/>
                <w:color w:val="000000"/>
                <w:sz w:val="16"/>
              </w:rPr>
              <w:t>https://caa.gov.lk/web/images/Direction/English/sec10/91_E.pdf</w:t>
            </w:r>
          </w:p>
        </w:tc>
      </w:tr>
    </w:tbl>
    <w:p>
      <w:pPr>
        <w:spacing w:after="40"/>
      </w:pPr>
    </w:p>
    <w:p>
      <w:pPr>
        <w:pStyle w:val="Heading1"/>
        <w:keepNext/>
      </w:pPr>
      <w:r>
        <w:t>Appendix A. Repository Evidence Summary</w:t>
      </w:r>
    </w:p>
    <w:tbl>
      <w:tblPr>
        <w:tblW w:type="dxa" w:w="9360"/>
        <w:jc w:val="left"/>
        <w:tblLayout w:type="fixed"/>
        <w:tblLook w:firstColumn="1" w:firstRow="1" w:lastColumn="0" w:lastRow="0" w:noHBand="0" w:noVBand="1" w:val="04A0"/>
        <w:tblInd w:w="120" w:type="dxa"/>
        <w:tblBorders>
          <w:top w:val="single" w:sz="6" w:color="C7CDD6"/>
          <w:left w:val="single" w:sz="6" w:color="C7CDD6"/>
          <w:bottom w:val="single" w:sz="6" w:color="C7CDD6"/>
          <w:right w:val="single" w:sz="6" w:color="C7CDD6"/>
          <w:insideH w:val="single" w:sz="6" w:color="C7CDD6"/>
          <w:insideV w:val="single" w:sz="6" w:color="C7CDD6"/>
        </w:tblBorders>
      </w:tblPr>
      <w:tblGrid>
        <w:gridCol w:w="2100"/>
        <w:gridCol w:w="7260"/>
      </w:tblGrid>
      <w:tr>
        <w:trPr>
          <w:tblHeader w:val="true"/>
        </w:trPr>
        <w:tc>
          <w:tcPr>
            <w:tcW w:type="dxa" w:w="2100"/>
            <w:shd w:fill="F4F6F9"/>
            <w:tcMar>
              <w:top w:w="80" w:type="dxa"/>
              <w:start w:w="120" w:type="dxa"/>
              <w:bottom w:w="80" w:type="dxa"/>
              <w:end w:w="120" w:type="dxa"/>
            </w:tcMar>
            <w:vAlign w:val="center"/>
          </w:tcPr>
          <w:p>
            <w:pPr>
              <w:spacing w:before="0" w:after="0"/>
            </w:pPr>
            <w:r>
              <w:rPr>
                <w:rFonts w:ascii="Calibri" w:hAnsi="Calibri"/>
                <w:b/>
                <w:color w:val="0B2545"/>
                <w:sz w:val="18"/>
              </w:rPr>
              <w:t>Evidence</w:t>
            </w:r>
          </w:p>
        </w:tc>
        <w:tc>
          <w:tcPr>
            <w:tcW w:type="dxa" w:w="7260"/>
            <w:shd w:fill="F4F6F9"/>
            <w:tcMar>
              <w:top w:w="80" w:type="dxa"/>
              <w:start w:w="120" w:type="dxa"/>
              <w:bottom w:w="80" w:type="dxa"/>
              <w:end w:w="120" w:type="dxa"/>
            </w:tcMar>
            <w:vAlign w:val="center"/>
          </w:tcPr>
          <w:p>
            <w:pPr>
              <w:spacing w:before="0" w:after="0"/>
            </w:pPr>
            <w:r>
              <w:rPr>
                <w:rFonts w:ascii="Calibri" w:hAnsi="Calibri"/>
                <w:b/>
                <w:color w:val="0B2545"/>
                <w:sz w:val="18"/>
              </w:rPr>
              <w:t>Observed result</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color w:val="000000"/>
                <w:sz w:val="18"/>
              </w:rPr>
              <w:t>Routes</w:t>
            </w:r>
          </w:p>
        </w:tc>
        <w:tc>
          <w:tcPr>
            <w:tcW w:type="dxa" w:w="7260"/>
            <w:tcMar>
              <w:top w:w="80" w:type="dxa"/>
              <w:start w:w="120" w:type="dxa"/>
              <w:bottom w:w="80" w:type="dxa"/>
              <w:end w:w="120" w:type="dxa"/>
            </w:tcMar>
            <w:vAlign w:val="center"/>
          </w:tcPr>
          <w:p>
            <w:pPr>
              <w:spacing w:before="0" w:after="0" w:line="252" w:lineRule="auto"/>
            </w:pPr>
            <w:r>
              <w:rPr>
                <w:rFonts w:ascii="Calibri" w:hAnsi="Calibri"/>
                <w:color w:val="000000"/>
                <w:sz w:val="18"/>
              </w:rPr>
              <w:t>298 total: 94 admin, 53 customer, 53 public/auth/shared, 37 vendor, 27 API, 19 super-admin, 15 rider</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color w:val="000000"/>
                <w:sz w:val="18"/>
              </w:rPr>
              <w:t>Backend</w:t>
            </w:r>
          </w:p>
        </w:tc>
        <w:tc>
          <w:tcPr>
            <w:tcW w:type="dxa" w:w="7260"/>
            <w:tcMar>
              <w:top w:w="80" w:type="dxa"/>
              <w:start w:w="120" w:type="dxa"/>
              <w:bottom w:w="80" w:type="dxa"/>
              <w:end w:w="120" w:type="dxa"/>
            </w:tcMar>
            <w:vAlign w:val="center"/>
          </w:tcPr>
          <w:p>
            <w:pPr>
              <w:spacing w:before="0" w:after="0" w:line="252" w:lineRule="auto"/>
            </w:pPr>
            <w:r>
              <w:rPr>
                <w:rFonts w:ascii="Calibri" w:hAnsi="Calibri"/>
                <w:color w:val="000000"/>
                <w:sz w:val="18"/>
              </w:rPr>
              <w:t>51 models, 91 controllers, 35 services, 18 policies, 35 requests, 26 notifications</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color w:val="000000"/>
                <w:sz w:val="18"/>
              </w:rPr>
              <w:t>Presentation</w:t>
            </w:r>
          </w:p>
        </w:tc>
        <w:tc>
          <w:tcPr>
            <w:tcW w:type="dxa" w:w="7260"/>
            <w:tcMar>
              <w:top w:w="80" w:type="dxa"/>
              <w:start w:w="120" w:type="dxa"/>
              <w:bottom w:w="80" w:type="dxa"/>
              <w:end w:w="120" w:type="dxa"/>
            </w:tcMar>
            <w:vAlign w:val="center"/>
          </w:tcPr>
          <w:p>
            <w:pPr>
              <w:spacing w:before="0" w:after="0" w:line="252" w:lineRule="auto"/>
            </w:pPr>
            <w:r>
              <w:rPr>
                <w:rFonts w:ascii="Calibri" w:hAnsi="Calibri"/>
                <w:color w:val="000000"/>
                <w:sz w:val="18"/>
              </w:rPr>
              <w:t>189 Blade views; Vite production build succeeded with 56 modules</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color w:val="000000"/>
                <w:sz w:val="18"/>
              </w:rPr>
              <w:t>Mobile</w:t>
            </w:r>
          </w:p>
        </w:tc>
        <w:tc>
          <w:tcPr>
            <w:tcW w:type="dxa" w:w="7260"/>
            <w:tcMar>
              <w:top w:w="80" w:type="dxa"/>
              <w:start w:w="120" w:type="dxa"/>
              <w:bottom w:w="80" w:type="dxa"/>
              <w:end w:w="120" w:type="dxa"/>
            </w:tcMar>
            <w:vAlign w:val="center"/>
          </w:tcPr>
          <w:p>
            <w:pPr>
              <w:spacing w:before="0" w:after="0" w:line="252" w:lineRule="auto"/>
            </w:pPr>
            <w:r>
              <w:rPr>
                <w:rFonts w:ascii="Calibri" w:hAnsi="Calibri"/>
                <w:color w:val="000000"/>
                <w:sz w:val="18"/>
              </w:rPr>
              <w:t>227 Dart files; role screens/providers/services/models/widgets; release verification unavailable</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color w:val="000000"/>
                <w:sz w:val="18"/>
              </w:rPr>
              <w:t>Tests</w:t>
            </w:r>
          </w:p>
        </w:tc>
        <w:tc>
          <w:tcPr>
            <w:tcW w:type="dxa" w:w="7260"/>
            <w:tcMar>
              <w:top w:w="80" w:type="dxa"/>
              <w:start w:w="120" w:type="dxa"/>
              <w:bottom w:w="80" w:type="dxa"/>
              <w:end w:w="120" w:type="dxa"/>
            </w:tcMar>
            <w:vAlign w:val="center"/>
          </w:tcPr>
          <w:p>
            <w:pPr>
              <w:spacing w:before="0" w:after="0" w:line="252" w:lineRule="auto"/>
            </w:pPr>
            <w:r>
              <w:rPr>
                <w:rFonts w:ascii="Calibri" w:hAnsi="Calibri"/>
                <w:color w:val="000000"/>
                <w:sz w:val="18"/>
              </w:rPr>
              <w:t>54 passed, 241 assertions, about 166 seconds</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color w:val="000000"/>
                <w:sz w:val="18"/>
              </w:rPr>
              <w:t>Operations</w:t>
            </w:r>
          </w:p>
        </w:tc>
        <w:tc>
          <w:tcPr>
            <w:tcW w:type="dxa" w:w="7260"/>
            <w:tcMar>
              <w:top w:w="80" w:type="dxa"/>
              <w:start w:w="120" w:type="dxa"/>
              <w:bottom w:w="80" w:type="dxa"/>
              <w:end w:w="120" w:type="dxa"/>
            </w:tcMar>
            <w:vAlign w:val="center"/>
          </w:tcPr>
          <w:p>
            <w:pPr>
              <w:spacing w:before="0" w:after="0" w:line="252" w:lineRule="auto"/>
            </w:pPr>
            <w:r>
              <w:rPr>
                <w:rFonts w:ascii="Calibri" w:hAnsi="Calibri"/>
                <w:color w:val="000000"/>
                <w:sz w:val="18"/>
              </w:rPr>
              <w:t>Database queues, subscription scheduler, token pruning, /up, encrypted backups, CI audits</w:t>
            </w:r>
          </w:p>
        </w:tc>
      </w:tr>
    </w:tbl>
    <w:p>
      <w:pPr>
        <w:spacing w:after="40"/>
      </w:pP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573"/>
        <w:sz w:val="18"/>
      </w:rPr>
      <w:t xml:space="preserve">DailyCart | Page </w:t>
    </w:r>
    <w:r>
      <w:rPr>
        <w:rFonts w:ascii="Calibri" w:hAnsi="Calibri"/>
        <w:color w:val="5B6573"/>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B6573"/>
        <w:sz w:val="17"/>
      </w:rPr>
      <w:t>DailyCart Technical Research and Project Analysis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DailyCart Technical Research and Project Analysis</dc:title>
  <dc:subject>Technical research, feasibility, readiness, and roadmap</dc:subject>
  <dc:creator>DailyCart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