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hint="eastAsia"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电子科技大学</w:t>
      </w:r>
      <w:r>
        <w:rPr>
          <w:rFonts w:hint="eastAsia" w:eastAsia="华文行楷"/>
          <w:sz w:val="52"/>
          <w:u w:val="single"/>
        </w:rPr>
        <w:t>生命科学与技术</w:t>
      </w:r>
      <w:r>
        <w:rPr>
          <w:rFonts w:hint="eastAsia" w:eastAsia="楷体_GB2312"/>
          <w:b/>
          <w:bCs/>
          <w:sz w:val="52"/>
        </w:rPr>
        <w:t>学院</w:t>
      </w:r>
    </w:p>
    <w:p>
      <w:pPr>
        <w:spacing w:after="156" w:afterLines="50"/>
        <w:jc w:val="center"/>
        <w:rPr>
          <w:rFonts w:hint="eastAsia"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hint="eastAsia"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hint="eastAsia"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hint="eastAsia"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标 准 实 验 报 告</w:t>
      </w: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rPr>
          <w:rFonts w:hint="eastAsia" w:eastAsia="方正舒体"/>
          <w:b/>
          <w:bCs/>
          <w:sz w:val="44"/>
        </w:rPr>
      </w:pPr>
    </w:p>
    <w:p>
      <w:pPr>
        <w:rPr>
          <w:rFonts w:hint="eastAsia" w:eastAsia="方正舒体"/>
          <w:b/>
          <w:bCs/>
          <w:sz w:val="44"/>
        </w:rPr>
      </w:pPr>
    </w:p>
    <w:p>
      <w:pPr>
        <w:ind w:firstLine="1081" w:firstLineChars="300"/>
        <w:rPr>
          <w:rFonts w:hint="eastAsia" w:eastAsia="楷体_GB2312"/>
          <w:b/>
          <w:bCs/>
          <w:sz w:val="36"/>
          <w:u w:val="single"/>
        </w:rPr>
      </w:pPr>
      <w:r>
        <w:rPr>
          <w:rFonts w:hint="eastAsia" w:eastAsia="楷体_GB2312"/>
          <w:b/>
          <w:bCs/>
          <w:sz w:val="36"/>
        </w:rPr>
        <w:t>（实验）课程名称</w:t>
      </w:r>
      <w:r>
        <w:rPr>
          <w:rFonts w:hint="eastAsia" w:eastAsia="楷体_GB2312"/>
          <w:b/>
          <w:bCs/>
          <w:sz w:val="36"/>
          <w:u w:val="single"/>
        </w:rPr>
        <w:t xml:space="preserve">  </w:t>
      </w:r>
      <w:r>
        <w:rPr>
          <w:rFonts w:hint="eastAsia" w:eastAsia="黑体"/>
          <w:sz w:val="36"/>
          <w:u w:val="single"/>
        </w:rPr>
        <w:t>生物医学信号处理</w:t>
      </w:r>
      <w:r>
        <w:rPr>
          <w:rFonts w:hint="eastAsia" w:eastAsia="楷体_GB2312"/>
          <w:b/>
          <w:bCs/>
          <w:sz w:val="36"/>
          <w:u w:val="single"/>
        </w:rPr>
        <w:t xml:space="preserve">   </w:t>
      </w: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jc w:val="center"/>
        <w:rPr>
          <w:rFonts w:hint="eastAsia" w:eastAsia="方正舒体"/>
          <w:b/>
          <w:bCs/>
          <w:sz w:val="32"/>
          <w:szCs w:val="32"/>
        </w:rPr>
      </w:pPr>
      <w:r>
        <w:rPr>
          <w:rFonts w:hint="eastAsia" w:eastAsia="方正舒体"/>
          <w:b/>
          <w:bCs/>
          <w:sz w:val="32"/>
          <w:szCs w:val="32"/>
        </w:rPr>
        <w:t>2018-2019-第2学期</w:t>
      </w: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ind w:firstLine="1316" w:firstLineChars="299"/>
        <w:rPr>
          <w:rFonts w:hint="eastAsia" w:eastAsia="楷体_GB2312"/>
          <w:b/>
          <w:bCs/>
          <w:sz w:val="44"/>
          <w:u w:val="single"/>
        </w:rPr>
      </w:pPr>
    </w:p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ascii="SimSun" w:hAnsi="SimSun"/>
          <w:b/>
          <w:bCs/>
          <w:sz w:val="24"/>
        </w:rPr>
        <w:t>电子科技大学教务处制表</w:t>
      </w:r>
    </w:p>
    <w:p>
      <w:pPr>
        <w:jc w:val="center"/>
        <w:rPr>
          <w:rFonts w:hint="eastAsia" w:eastAsia="方正舒体"/>
          <w:b/>
          <w:bCs/>
          <w:sz w:val="44"/>
        </w:rPr>
      </w:pPr>
    </w:p>
    <w:p>
      <w:pPr>
        <w:rPr>
          <w:rFonts w:hint="eastAsia" w:eastAsia="黑体"/>
          <w:b/>
          <w:bCs/>
          <w:sz w:val="52"/>
        </w:rPr>
      </w:pP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0" w:type="dxa"/>
          </w:tcPr>
          <w:p>
            <w:pPr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2340" w:type="dxa"/>
          </w:tcPr>
          <w:p>
            <w:pPr>
              <w:rPr>
                <w:rFonts w:hint="eastAsia"/>
                <w:sz w:val="28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号</w:t>
            </w:r>
          </w:p>
        </w:tc>
        <w:tc>
          <w:tcPr>
            <w:tcW w:w="3060" w:type="dxa"/>
          </w:tcPr>
          <w:p>
            <w:pPr>
              <w:ind w:left="-2" w:leftChars="-1" w:firstLine="1"/>
              <w:rPr>
                <w:rFonts w:hint="eastAsia"/>
                <w:sz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0" w:type="dxa"/>
          </w:tcPr>
          <w:p>
            <w:pPr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2340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李凌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实验时间</w:t>
            </w:r>
          </w:p>
        </w:tc>
        <w:tc>
          <w:tcPr>
            <w:tcW w:w="3060" w:type="dxa"/>
          </w:tcPr>
          <w:p>
            <w:pPr>
              <w:ind w:leftChars="-1" w:hanging="2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2019.3.</w:t>
            </w:r>
            <w:r>
              <w:rPr>
                <w:b/>
                <w:bCs/>
                <w:sz w:val="28"/>
              </w:rPr>
              <w:t>26</w:t>
            </w:r>
          </w:p>
        </w:tc>
      </w:tr>
    </w:tbl>
    <w:p>
      <w:pPr>
        <w:spacing w:before="156" w:beforeLines="50"/>
        <w:rPr>
          <w:rFonts w:hint="eastAsia"/>
          <w:bCs/>
          <w:sz w:val="28"/>
        </w:rPr>
      </w:pPr>
      <w:r>
        <w:rPr>
          <w:rFonts w:hint="eastAsia"/>
          <w:b/>
          <w:bCs/>
          <w:sz w:val="28"/>
        </w:rPr>
        <w:t xml:space="preserve">一、实验室名称： </w:t>
      </w:r>
      <w:r>
        <w:rPr>
          <w:rFonts w:hint="eastAsia"/>
          <w:bCs/>
          <w:sz w:val="28"/>
        </w:rPr>
        <w:t>品学楼B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302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二、实验名称：</w:t>
      </w:r>
      <w:r>
        <w:rPr>
          <w:rFonts w:hint="eastAsia"/>
          <w:bCs/>
          <w:sz w:val="28"/>
        </w:rPr>
        <w:t>随机信号多角度认知和心电、脑电信号特征的认知</w:t>
      </w:r>
    </w:p>
    <w:p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三、实验学时：2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>
      <w:pPr>
        <w:ind w:firstLine="420"/>
        <w:rPr>
          <w:rFonts w:hint="eastAsia"/>
          <w:b/>
          <w:bCs/>
          <w:sz w:val="24"/>
        </w:rPr>
      </w:pPr>
      <w:r>
        <w:rPr>
          <w:rFonts w:hint="eastAsia"/>
          <w:bCs/>
          <w:sz w:val="28"/>
          <w:szCs w:val="28"/>
        </w:rPr>
        <w:t>借助matlab工具箱，可以计算出时域统计特征和频域并进行统计分析。计算不同窗函数下的功率谱，可以从频域角度分析开眼闭眼信号的特征。通过这些特征，我们可以进一步分析其生理特征和意义。</w: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7260" cy="0"/>
                <wp:effectExtent l="0" t="76200" r="2540" b="76200"/>
                <wp:wrapNone/>
                <wp:docPr id="2356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2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0pt;margin-top:0pt;height:0pt;width:173.8pt;z-index:251659264;mso-width-relative:page;mso-height-relative:page;" filled="f" stroked="t" coordsize="21600,21600" o:gfxdata="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OfpyhDRAAAAAgEAAA8AAAAAAAAAAQAgAAAAOAAAAGRycy9kb3ducmV2&#10;LnhtbFBLAQIUABQAAAAIAIdO4kAZ8Xh87QEAAOADAAAOAAAAAAAAAAEAIAAAADYBAABkcnMvZTJv&#10;RG9jLnhtbFBLBQYAAAAABgAGAFkBAACVBQAAAAA=&#10;">
                <v:fill on="f" focussize="0,0"/>
                <v:stroke weight="1.5pt" color="#FFFFFF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实验目的：通过上机加深随机信号的时域和频域认识 </w:t>
      </w:r>
    </w:p>
    <w:p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实验内容：（详细填写）</w:t>
      </w:r>
    </w:p>
    <w:p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上机了解时域统计特征（均值、方差、直方图、相关函数等）及频域（功率谱）的计算。</w:t>
      </w:r>
    </w:p>
    <w:p>
      <w:pPr>
        <w:ind w:firstLine="4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使用周期图法对开眼和闭眼的脑电信号进行分析，并研究它们之间的特征与差异，进行总结和分析。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 matlab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、在波形产生函数中选</w:t>
      </w:r>
      <w:r>
        <w:rPr>
          <w:bCs/>
          <w:sz w:val="28"/>
          <w:szCs w:val="28"/>
        </w:rPr>
        <w:t>randn</w:t>
      </w:r>
      <w:r>
        <w:rPr>
          <w:rFonts w:hint="eastAsia"/>
          <w:bCs/>
          <w:sz w:val="28"/>
          <w:szCs w:val="28"/>
        </w:rPr>
        <w:t>和</w:t>
      </w:r>
      <w:r>
        <w:rPr>
          <w:bCs/>
          <w:sz w:val="28"/>
          <w:szCs w:val="28"/>
        </w:rPr>
        <w:t>rand</w:t>
      </w:r>
      <w:r>
        <w:rPr>
          <w:rFonts w:hint="eastAsia"/>
          <w:bCs/>
          <w:sz w:val="28"/>
          <w:szCs w:val="28"/>
        </w:rPr>
        <w:t>两种波形发生器，各产生一段随机信号，请观察它们是什么样的信号，描述它们的时域特征。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、编制一个程序，计算这两个随机信号的样本数字特征，包括均值、方差、相关函数（</w:t>
      </w:r>
      <w:r>
        <w:rPr>
          <w:bCs/>
          <w:sz w:val="28"/>
          <w:szCs w:val="28"/>
        </w:rPr>
        <w:t>xcorr</w:t>
      </w:r>
      <w:r>
        <w:rPr>
          <w:rFonts w:hint="eastAsia"/>
          <w:bCs/>
          <w:sz w:val="28"/>
          <w:szCs w:val="28"/>
        </w:rPr>
        <w:t>）、协方差函数（</w:t>
      </w:r>
      <w:r>
        <w:rPr>
          <w:bCs/>
          <w:sz w:val="28"/>
          <w:szCs w:val="28"/>
        </w:rPr>
        <w:t>xcov</w:t>
      </w:r>
      <w:r>
        <w:rPr>
          <w:rFonts w:hint="eastAsia"/>
          <w:bCs/>
          <w:sz w:val="28"/>
          <w:szCs w:val="28"/>
        </w:rPr>
        <w:t>），比较并描述这两个信号一阶和二阶统计量的区别。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、对以上信号样本计算频数直方图（</w:t>
      </w:r>
      <w:r>
        <w:rPr>
          <w:bCs/>
          <w:sz w:val="28"/>
          <w:szCs w:val="28"/>
        </w:rPr>
        <w:t>hist</w:t>
      </w:r>
      <w:r>
        <w:rPr>
          <w:rFonts w:hint="eastAsia"/>
          <w:bCs/>
          <w:sz w:val="28"/>
          <w:szCs w:val="28"/>
        </w:rPr>
        <w:t>）并估计这两个随机信号的概率密度函数</w:t>
      </w:r>
      <w:r>
        <w:rPr>
          <w:bCs/>
          <w:sz w:val="28"/>
          <w:szCs w:val="28"/>
        </w:rPr>
        <w:t>(ksdensity)</w:t>
      </w:r>
      <w:r>
        <w:rPr>
          <w:rFonts w:hint="eastAsia"/>
          <w:bCs/>
          <w:sz w:val="28"/>
          <w:szCs w:val="28"/>
        </w:rPr>
        <w:t>及估计他们的概率分布函数</w:t>
      </w:r>
      <w:r>
        <w:rPr>
          <w:bCs/>
          <w:sz w:val="28"/>
          <w:szCs w:val="28"/>
        </w:rPr>
        <w:t xml:space="preserve">(ksdensity) </w:t>
      </w:r>
      <w:r>
        <w:rPr>
          <w:rFonts w:hint="eastAsia"/>
          <w:bCs/>
          <w:sz w:val="28"/>
          <w:szCs w:val="28"/>
        </w:rPr>
        <w:t>。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、利用周期图法估计这两个信号功率谱，比较并描述它们的频域特征。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、查看相关函数结果和功率谱之间是否是一对</w:t>
      </w:r>
      <w:r>
        <w:rPr>
          <w:bCs/>
          <w:sz w:val="28"/>
          <w:szCs w:val="28"/>
        </w:rPr>
        <w:t>DFT</w:t>
      </w:r>
      <w:r>
        <w:rPr>
          <w:rFonts w:hint="eastAsia"/>
          <w:bCs/>
          <w:sz w:val="28"/>
          <w:szCs w:val="28"/>
        </w:rPr>
        <w:t>。</w:t>
      </w:r>
    </w:p>
    <w:p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6、按照（学号后两位*班号）选择一路脑电信号，观察和描述开眼和闭眼脑电信号的时域波形特征 。（数据文件eegclose.mat and eegopen.mat ，Fs=250 Hz，幅度单位：微伏）</w:t>
      </w: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7、使用周期图法对开眼和闭眼的脑电信号进行分析，探讨不同窗函数对分析结果的影响（矩形窗之外选三种窗）；</w:t>
      </w:r>
    </w:p>
    <w:p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8、将某一种窗函数下的开眼和闭眼功率谱图进行比较，找出开眼与闭眼功率谱上存在的差异。（例如测量脑电delta，theta、alpha，beta四个波段内的功率峰值，采用表格方式列出，这样可以比较开眼和闭眼的功率谱分布的差异）。</w:t>
      </w:r>
    </w:p>
    <w:p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9、给出一段文字总结开眼和闭眼脑电信号之间的差异总结。</w:t>
      </w:r>
    </w:p>
    <w:p>
      <w:pPr>
        <w:rPr>
          <w:rFonts w:hint="eastAsia"/>
          <w:b/>
          <w:bCs/>
          <w:sz w:val="24"/>
        </w:rPr>
      </w:pPr>
    </w:p>
    <w:p>
      <w:pPr>
        <w:numPr>
          <w:ilvl w:val="0"/>
          <w:numId w:val="2"/>
        </w:numPr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  <w:r>
        <w:rPr>
          <w:rFonts w:hint="eastAsia"/>
          <w:b/>
          <w:bCs/>
          <w:color w:val="FF0000"/>
          <w:sz w:val="28"/>
        </w:rPr>
        <w:t>（详细填写）（包括</w:t>
      </w:r>
      <w:r>
        <w:rPr>
          <w:rFonts w:hint="eastAsia" w:eastAsia="黑体"/>
          <w:b/>
          <w:bCs/>
          <w:color w:val="FF0000"/>
          <w:sz w:val="30"/>
          <w:u w:val="single"/>
        </w:rPr>
        <w:t>程序、图、结果</w:t>
      </w:r>
      <w:r>
        <w:rPr>
          <w:rFonts w:hint="eastAsia"/>
          <w:b/>
          <w:bCs/>
          <w:color w:val="FF0000"/>
          <w:sz w:val="28"/>
        </w:rPr>
        <w:t>等）</w:t>
      </w:r>
    </w:p>
    <w:p>
      <w:pPr>
        <w:numPr>
          <w:ilvl w:val="0"/>
          <w:numId w:val="3"/>
        </w:numPr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hint="eastAsia"/>
          <w:bCs/>
          <w:sz w:val="28"/>
        </w:rPr>
        <w:t>随机信号的时域和频域认识</w:t>
      </w:r>
    </w:p>
    <w:p>
      <w:pPr>
        <w:ind w:left="640"/>
        <w:rPr>
          <w:bCs/>
          <w:sz w:val="28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rand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randn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var1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var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var2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var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mean1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mean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mean2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mean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xcorr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xcorr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'rand信号自相关'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'randn信号自相关'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xc1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xcov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xc2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xcov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'biased'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'rand信号协方差'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'randn信号协方差'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5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hist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150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'rand信号直方图'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hist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150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'randn信号直方图'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ksdensity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'rand信号概率密度函数'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ksdensity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xi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'randn信号概率密度函数'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cdfplot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'rand信号概率分布函数'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cdfplot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'randn信号概率分布函数'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%进行序列位置的转换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4999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5000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'rand信号功率谱'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 axis([0 10000 0 6])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4999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5000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'randn信号功率谱'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%验证相关和功率谱的关系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9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%将FFT序列移动坐标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'rand信号自相关做FFT'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xg2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):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];</w:t>
      </w: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%将FFT序列移动坐标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10000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'randn信号自相关做FFT'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ind w:left="640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ind w:left="640"/>
        <w:rPr>
          <w:rFonts w:ascii="Consolas" w:hAnsi="Consolas"/>
          <w:color w:val="000000"/>
          <w:spacing w:val="4"/>
          <w:sz w:val="28"/>
          <w:szCs w:val="28"/>
        </w:rPr>
      </w:pPr>
      <w:r>
        <w:rPr>
          <w:rFonts w:hint="eastAsia" w:ascii="Consolas" w:hAnsi="Consolas"/>
          <w:color w:val="000000"/>
          <w:spacing w:val="4"/>
          <w:sz w:val="28"/>
          <w:szCs w:val="28"/>
        </w:rPr>
        <w:t>运行结果：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var1 =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0.0818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var2 =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0.9837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mean1 =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0.5038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mean2 =</w:t>
      </w:r>
    </w:p>
    <w:p>
      <w:pPr>
        <w:ind w:left="640"/>
        <w:rPr>
          <w:rFonts w:hint="eastAsia"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-0.0036</w:t>
      </w:r>
    </w:p>
    <w:p>
      <w:pPr>
        <w:ind w:left="780"/>
        <w:jc w:val="center"/>
      </w:pPr>
      <w:r>
        <w:drawing>
          <wp:inline distT="0" distB="0" distL="0" distR="0">
            <wp:extent cx="5270500" cy="394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</w:t>
      </w:r>
      <w:r>
        <w:rPr>
          <w:sz w:val="24"/>
        </w:rPr>
        <w:t xml:space="preserve">l </w:t>
      </w:r>
      <w:r>
        <w:rPr>
          <w:rFonts w:hint="eastAsia"/>
          <w:sz w:val="24"/>
        </w:rPr>
        <w:t>两种随机信号</w:t>
      </w:r>
    </w:p>
    <w:p>
      <w:pPr>
        <w:ind w:left="780"/>
        <w:jc w:val="left"/>
        <w:rPr>
          <w:rFonts w:hint="eastAsia"/>
          <w:sz w:val="28"/>
          <w:szCs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and生成均匀分布在（0~1）之间的伪随机数，而randn (m,n) 生成m行n列标准正态分布的伪随机数（均值为0，方差为1）。从图中和方差及均值的计算结果可以看出，rand信号方差较小，均值接近0.5，randn信号均值接近0，方差接近1.</w:t>
      </w:r>
    </w:p>
    <w:p>
      <w:pPr>
        <w:ind w:left="780"/>
        <w:jc w:val="center"/>
      </w:pPr>
      <w:r>
        <w:drawing>
          <wp:inline distT="0" distB="0" distL="0" distR="0">
            <wp:extent cx="5270500" cy="394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图1.2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两种随机信号的自相关</w:t>
      </w:r>
    </w:p>
    <w:p>
      <w:pPr>
        <w:ind w:left="780"/>
        <w:jc w:val="center"/>
        <w:rPr>
          <w:sz w:val="24"/>
        </w:rPr>
      </w:pPr>
    </w:p>
    <w:p>
      <w:pPr>
        <w:ind w:left="780"/>
        <w:jc w:val="center"/>
        <w:rPr>
          <w:bCs/>
          <w:sz w:val="28"/>
        </w:rPr>
      </w:pPr>
      <w:r>
        <w:rPr>
          <w:rFonts w:hint="eastAsia"/>
          <w:bCs/>
          <w:sz w:val="28"/>
        </w:rPr>
        <w:drawing>
          <wp:inline distT="0" distB="0" distL="0" distR="0">
            <wp:extent cx="5270500" cy="394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图1.3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两种随机信号的协方差</w:t>
      </w:r>
    </w:p>
    <w:p>
      <w:pPr>
        <w:ind w:left="78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从图1.2、图1.3可以看出，rand信号自相关和协方差在中点时最大，离中点越远越小（逐渐减小），而randn信号的自相关和自协方差在0处有一个尖峰，其他地方都近似于零。协方差在0处接近1/3， </w:t>
      </w:r>
      <w:r>
        <w:rPr>
          <w:sz w:val="24"/>
        </w:rPr>
        <w:t>‘unbiased’, n</w:t>
      </w:r>
      <w:r>
        <w:rPr>
          <w:rFonts w:hint="eastAsia"/>
          <w:sz w:val="24"/>
        </w:rPr>
        <w:t>趋于无穷，0.25</w:t>
      </w:r>
      <w:r>
        <w:rPr>
          <w:sz w:val="24"/>
        </w:rPr>
        <w:t xml:space="preserve"> </w:t>
      </w:r>
      <w:r>
        <w:rPr>
          <w:rFonts w:hint="eastAsia"/>
          <w:sz w:val="24"/>
        </w:rPr>
        <w:t>（1/2*1/2）</w:t>
      </w:r>
    </w:p>
    <w:p>
      <w:pPr>
        <w:ind w:left="780"/>
        <w:jc w:val="left"/>
        <w:rPr>
          <w:rFonts w:hint="eastAsia"/>
          <w:sz w:val="24"/>
        </w:rPr>
      </w:pPr>
    </w:p>
    <w:p>
      <w:pPr>
        <w:ind w:left="780"/>
        <w:jc w:val="center"/>
      </w:pPr>
    </w:p>
    <w:p>
      <w:pPr>
        <w:ind w:left="780"/>
        <w:jc w:val="center"/>
        <w:rPr>
          <w:bCs/>
          <w:sz w:val="28"/>
        </w:rPr>
      </w:pPr>
      <w:r>
        <w:rPr>
          <w:rFonts w:hint="eastAsia"/>
          <w:bCs/>
          <w:sz w:val="28"/>
        </w:rPr>
        <w:drawing>
          <wp:inline distT="0" distB="0" distL="0" distR="0">
            <wp:extent cx="5270500" cy="394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图1.4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两种随机信号的直方图</w:t>
      </w:r>
    </w:p>
    <w:p>
      <w:pPr>
        <w:ind w:left="780"/>
        <w:jc w:val="left"/>
        <w:rPr>
          <w:rFonts w:hint="eastAsia"/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从直方图可以看出，生成的一小段rand信号在0~1之间分布较均匀，而randn信号分布近似于正太分布。</w:t>
      </w:r>
    </w:p>
    <w:p>
      <w:pPr>
        <w:ind w:left="780"/>
        <w:jc w:val="center"/>
      </w:pPr>
      <w:r>
        <w:drawing>
          <wp:inline distT="0" distB="0" distL="0" distR="0">
            <wp:extent cx="5270500" cy="394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图1.5两种随机信号的功率谱</w:t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（进行了翻转并保留了负半轴以方便和图1.6</w:t>
      </w:r>
      <w:r>
        <w:rPr>
          <w:sz w:val="24"/>
        </w:rPr>
        <w:t xml:space="preserve"> </w:t>
      </w:r>
      <w:r>
        <w:rPr>
          <w:rFonts w:hint="eastAsia"/>
          <w:sz w:val="24"/>
        </w:rPr>
        <w:t>进行对比）</w:t>
      </w:r>
    </w:p>
    <w:p>
      <w:pPr>
        <w:ind w:left="780"/>
        <w:jc w:val="center"/>
        <w:rPr>
          <w:rFonts w:hint="eastAsia"/>
          <w:sz w:val="24"/>
        </w:rPr>
      </w:pPr>
    </w:p>
    <w:p>
      <w:pPr>
        <w:ind w:left="780"/>
        <w:jc w:val="center"/>
      </w:pPr>
      <w:r>
        <w:drawing>
          <wp:inline distT="0" distB="0" distL="0" distR="0">
            <wp:extent cx="5270500" cy="394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图1.6</w:t>
      </w:r>
      <w:r>
        <w:rPr>
          <w:sz w:val="24"/>
        </w:rPr>
        <w:t xml:space="preserve"> </w:t>
      </w:r>
      <w:r>
        <w:rPr>
          <w:rFonts w:hint="eastAsia"/>
          <w:sz w:val="24"/>
        </w:rPr>
        <w:t>自相关和功率谱的关系</w:t>
      </w:r>
    </w:p>
    <w:p>
      <w:pPr>
        <w:ind w:left="84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从图1.5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为了与两个信号相关做傅里叶比变换结果对比，此处进行了平移和翻转）可以看出，rand信号功率谱集中在低频，而randn信号近似均匀的分布在各个频段。图1.6为自相关做傅里叶变换的结果，二者是相等的。（此处功率谱采用FFT算法，未用DFT，故对自相关进行变换时同样采用FFT进行对比）。这是维纳-辛钦定理：一个信号的功率谱密度就是该信号自相关函数的傅里叶变换（信号的功率谱密度和信号的自相关函数是一个傅里叶变换对）。我们可以利用这对关系，借助iFFT计算信号的自相关（复杂度等于卷积）。（参见</w:t>
      </w:r>
      <w:r>
        <w:rPr>
          <w:sz w:val="28"/>
          <w:szCs w:val="28"/>
        </w:rPr>
        <w:t>https://en.wikipedia.org/wiki/Wiener%E2%80%93Khinchin_theorem</w:t>
      </w:r>
      <w:r>
        <w:rPr>
          <w:rFonts w:hint="eastAsia"/>
          <w:sz w:val="28"/>
          <w:szCs w:val="28"/>
        </w:rPr>
        <w:t>）</w:t>
      </w:r>
    </w:p>
    <w:p>
      <w:pPr>
        <w:ind w:left="780"/>
        <w:jc w:val="center"/>
      </w:pPr>
    </w:p>
    <w:p>
      <w:pPr>
        <w:ind w:left="780"/>
        <w:jc w:val="center"/>
      </w:pPr>
      <w:r>
        <w:rPr>
          <w:rFonts w:hint="eastAsia"/>
        </w:rPr>
        <w:drawing>
          <wp:inline distT="0" distB="0" distL="0" distR="0">
            <wp:extent cx="5270500" cy="394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图1.7两种随机信号的概率密度函数</w:t>
      </w:r>
    </w:p>
    <w:p>
      <w:pPr>
        <w:ind w:left="780"/>
        <w:jc w:val="center"/>
      </w:pPr>
      <w:r>
        <w:rPr>
          <w:rFonts w:hint="eastAsia"/>
        </w:rPr>
        <w:drawing>
          <wp:inline distT="0" distB="0" distL="0" distR="0">
            <wp:extent cx="5270500" cy="394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图1.8两种随机信号的概率分布函数</w:t>
      </w:r>
    </w:p>
    <w:p>
      <w:pPr>
        <w:ind w:left="780"/>
        <w:jc w:val="center"/>
        <w:rPr>
          <w:sz w:val="24"/>
        </w:rPr>
      </w:pPr>
    </w:p>
    <w:p>
      <w:pPr>
        <w:ind w:left="78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从图1.7、1.8可以看出，rand信号的概率密度近似均匀分布在0~1之间，概率分布函数近似为线性。而randn近似成均值为0的正态分布。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rPr>
          <w:bCs/>
          <w:sz w:val="28"/>
        </w:rPr>
      </w:pPr>
      <w:r>
        <w:rPr>
          <w:rFonts w:hint="eastAsia"/>
          <w:bCs/>
          <w:sz w:val="28"/>
        </w:rPr>
        <w:t>滤波器的相位谱特性对滤波结果的影响</w:t>
      </w:r>
    </w:p>
    <w:p>
      <w:pPr>
        <w:ind w:left="640"/>
        <w:rPr>
          <w:bCs/>
          <w:sz w:val="28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eegclose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(:,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eegopen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(:,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250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500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boxcar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%构造矩形窗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trag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triang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trag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trag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%构造三角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blackman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%构造布莱克曼窗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kaiser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4"/>
          <w:rFonts w:ascii="Consolas" w:hAnsi="Consolas"/>
          <w:i/>
          <w:iCs/>
          <w:color w:val="60A0B0"/>
          <w:spacing w:val="4"/>
          <w:sz w:val="20"/>
          <w:szCs w:val="20"/>
        </w:rPr>
        <w:t>%构造凯塞窗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'闭眼信号功率谱(周期图法，矩形窗)'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md2box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'开眼信号功率谱(周期图法，矩形窗)'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length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'闭眼信号功率谱(周期图法，三角窗)'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'开眼信号功率谱(周期图法，三角窗)'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5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'闭眼信号功率谱(周期图法，kaiser窗)'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md2k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'开眼信号功率谱(周期图法，kaiser窗)'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abs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fft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.^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'闭眼信号功率谱(周期图法，Blackman窗)'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md2b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'加Blackman窗的开眼信号'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subplot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plot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fs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)));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grid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on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xlabel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'频率'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ylabel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'功率（dB）'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'开眼信号功率谱(周期图法，Blackman窗)'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hint="eastAsia"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hint="eastAsia" w:ascii="Consolas" w:hAnsi="Consolas"/>
          <w:color w:val="000000"/>
          <w:spacing w:val="4"/>
          <w:sz w:val="20"/>
          <w:szCs w:val="20"/>
        </w:rPr>
        <w:t>%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figure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22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hint="eastAsia" w:ascii="Consolas" w:hAnsi="Consolas"/>
          <w:color w:val="000000"/>
          <w:spacing w:val="4"/>
          <w:sz w:val="20"/>
          <w:szCs w:val="20"/>
        </w:rPr>
        <w:t>%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pwelch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md1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);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title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20"/>
          <w:rFonts w:ascii="Consolas" w:hAnsi="Consolas"/>
          <w:color w:val="4070A0"/>
          <w:spacing w:val="4"/>
          <w:sz w:val="20"/>
          <w:szCs w:val="20"/>
        </w:rPr>
        <w:t>'闭眼信号功率谱'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13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14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));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4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7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8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13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)),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max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ft2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14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30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))]</w:t>
      </w:r>
    </w:p>
    <w:p>
      <w:pPr>
        <w:pStyle w:val="4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datalog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17"/>
          <w:rFonts w:ascii="Consolas" w:hAnsi="Consolas"/>
          <w:color w:val="40A070"/>
          <w:spacing w:val="4"/>
          <w:sz w:val="20"/>
          <w:szCs w:val="20"/>
        </w:rPr>
        <w:t>10</w:t>
      </w:r>
      <w:r>
        <w:rPr>
          <w:rStyle w:val="18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19"/>
          <w:rFonts w:ascii="Consolas" w:hAnsi="Consolas"/>
          <w:color w:val="007020"/>
          <w:spacing w:val="4"/>
          <w:sz w:val="20"/>
          <w:szCs w:val="20"/>
        </w:rPr>
        <w:t>log10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15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16"/>
          <w:rFonts w:ascii="Consolas" w:hAnsi="Consolas"/>
          <w:color w:val="000000"/>
          <w:spacing w:val="4"/>
          <w:sz w:val="20"/>
          <w:szCs w:val="20"/>
        </w:rPr>
        <w:t>)</w:t>
      </w:r>
    </w:p>
    <w:p>
      <w:pPr>
        <w:ind w:left="640"/>
        <w:rPr>
          <w:bCs/>
          <w:sz w:val="28"/>
        </w:rPr>
      </w:pPr>
    </w:p>
    <w:p>
      <w:pPr>
        <w:ind w:left="780"/>
        <w:jc w:val="center"/>
        <w:rPr>
          <w:bCs/>
          <w:sz w:val="28"/>
        </w:rPr>
      </w:pPr>
      <w:r>
        <w:rPr>
          <w:rFonts w:hint="eastAsia"/>
          <w:bCs/>
          <w:sz w:val="28"/>
        </w:rPr>
        <w:drawing>
          <wp:inline distT="0" distB="0" distL="0" distR="0">
            <wp:extent cx="5270500" cy="394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sz w:val="24"/>
        </w:rPr>
      </w:pPr>
      <w:r>
        <w:rPr>
          <w:rFonts w:hint="eastAsia"/>
          <w:sz w:val="24"/>
        </w:rPr>
        <w:t>图2.</w:t>
      </w:r>
      <w:r>
        <w:rPr>
          <w:sz w:val="24"/>
        </w:rPr>
        <w:t xml:space="preserve">1 </w:t>
      </w:r>
      <w:r>
        <w:rPr>
          <w:rFonts w:hint="eastAsia"/>
          <w:sz w:val="24"/>
        </w:rPr>
        <w:t>闭眼信号及其矩形窗功率谱</w:t>
      </w:r>
    </w:p>
    <w:p>
      <w:pPr>
        <w:ind w:left="780"/>
        <w:jc w:val="center"/>
        <w:rPr>
          <w:sz w:val="24"/>
        </w:rPr>
      </w:pPr>
    </w:p>
    <w:p>
      <w:pPr>
        <w:ind w:left="780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drawing>
          <wp:inline distT="0" distB="0" distL="0" distR="0">
            <wp:extent cx="5270500" cy="3949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图2.2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闭眼信号及其矩形窗功率谱</w:t>
      </w:r>
    </w:p>
    <w:p>
      <w:pPr>
        <w:ind w:left="420"/>
        <w:jc w:val="center"/>
        <w:rPr>
          <w:bCs/>
          <w:sz w:val="28"/>
        </w:rPr>
      </w:pPr>
      <w:r>
        <w:rPr>
          <w:rFonts w:hint="eastAsia"/>
          <w:bCs/>
          <w:sz w:val="28"/>
        </w:rPr>
        <w:drawing>
          <wp:inline distT="0" distB="0" distL="0" distR="0">
            <wp:extent cx="5270500" cy="394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图2.3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闭眼信号及其三角窗功率谱 </w:t>
      </w:r>
    </w:p>
    <w:p>
      <w:pPr>
        <w:ind w:left="780"/>
        <w:jc w:val="center"/>
        <w:rPr>
          <w:sz w:val="24"/>
        </w:rPr>
      </w:pPr>
    </w:p>
    <w:p>
      <w:pPr>
        <w:ind w:left="420"/>
        <w:jc w:val="center"/>
        <w:rPr>
          <w:bCs/>
          <w:sz w:val="28"/>
        </w:rPr>
      </w:pPr>
      <w:r>
        <w:rPr>
          <w:rFonts w:hint="eastAsia"/>
          <w:bCs/>
          <w:sz w:val="28"/>
        </w:rPr>
        <w:drawing>
          <wp:inline distT="0" distB="0" distL="0" distR="0">
            <wp:extent cx="5270500" cy="394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图2.4</w:t>
      </w:r>
      <w:r>
        <w:rPr>
          <w:sz w:val="24"/>
        </w:rPr>
        <w:t xml:space="preserve"> </w:t>
      </w:r>
      <w:r>
        <w:rPr>
          <w:rFonts w:hint="eastAsia"/>
          <w:sz w:val="24"/>
        </w:rPr>
        <w:t>开眼信号及其三角窗功率谱</w:t>
      </w:r>
    </w:p>
    <w:p>
      <w:pPr>
        <w:ind w:left="780"/>
        <w:jc w:val="center"/>
        <w:rPr>
          <w:sz w:val="24"/>
        </w:rPr>
      </w:pPr>
    </w:p>
    <w:p>
      <w:pPr>
        <w:ind w:left="780"/>
        <w:jc w:val="center"/>
        <w:rPr>
          <w:sz w:val="24"/>
        </w:rPr>
      </w:pPr>
    </w:p>
    <w:p>
      <w:pPr>
        <w:ind w:left="780"/>
        <w:jc w:val="center"/>
      </w:pPr>
    </w:p>
    <w:p>
      <w:pPr>
        <w:ind w:left="780"/>
        <w:jc w:val="center"/>
      </w:pPr>
      <w:r>
        <w:rPr>
          <w:rFonts w:hint="eastAsia"/>
        </w:rPr>
        <w:drawing>
          <wp:inline distT="0" distB="0" distL="0" distR="0">
            <wp:extent cx="5270500" cy="3949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图2.5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闭眼信号及其Kaiser窗功率谱</w:t>
      </w:r>
    </w:p>
    <w:p>
      <w:pPr>
        <w:ind w:left="780"/>
        <w:jc w:val="center"/>
        <w:rPr>
          <w:sz w:val="24"/>
        </w:rPr>
      </w:pPr>
    </w:p>
    <w:p>
      <w:pPr>
        <w:ind w:left="780"/>
        <w:jc w:val="center"/>
      </w:pPr>
      <w:r>
        <w:rPr>
          <w:rFonts w:hint="eastAsia"/>
        </w:rPr>
        <w:drawing>
          <wp:inline distT="0" distB="0" distL="0" distR="0">
            <wp:extent cx="5270500" cy="3949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图2.6</w:t>
      </w:r>
      <w:r>
        <w:rPr>
          <w:sz w:val="24"/>
        </w:rPr>
        <w:t xml:space="preserve"> </w:t>
      </w:r>
      <w:r>
        <w:rPr>
          <w:rFonts w:hint="eastAsia"/>
          <w:sz w:val="24"/>
        </w:rPr>
        <w:t>开眼信号及其Kaiser窗功率谱</w:t>
      </w:r>
    </w:p>
    <w:p>
      <w:pPr>
        <w:ind w:left="780"/>
        <w:jc w:val="center"/>
      </w:pPr>
    </w:p>
    <w:p>
      <w:pPr>
        <w:ind w:left="780"/>
        <w:jc w:val="center"/>
      </w:pPr>
    </w:p>
    <w:p>
      <w:pPr>
        <w:ind w:left="78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3949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图2.7</w:t>
      </w:r>
      <w:r>
        <w:rPr>
          <w:sz w:val="24"/>
        </w:rPr>
        <w:t xml:space="preserve"> </w:t>
      </w:r>
      <w:r>
        <w:rPr>
          <w:rFonts w:hint="eastAsia"/>
          <w:sz w:val="24"/>
        </w:rPr>
        <w:t>闭眼信号及其Blackman窗功率谱</w:t>
      </w:r>
    </w:p>
    <w:p>
      <w:pPr>
        <w:ind w:left="780"/>
        <w:jc w:val="center"/>
      </w:pPr>
      <w:r>
        <w:rPr>
          <w:rFonts w:hint="eastAsia"/>
        </w:rPr>
        <w:drawing>
          <wp:inline distT="0" distB="0" distL="0" distR="0">
            <wp:extent cx="5270500" cy="3949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图2.8</w:t>
      </w:r>
      <w:r>
        <w:rPr>
          <w:sz w:val="24"/>
        </w:rPr>
        <w:t xml:space="preserve"> </w:t>
      </w:r>
      <w:r>
        <w:rPr>
          <w:rFonts w:hint="eastAsia"/>
          <w:sz w:val="24"/>
        </w:rPr>
        <w:t>开眼信号及其Blackman窗功率谱</w:t>
      </w:r>
    </w:p>
    <w:p>
      <w:pPr>
        <w:ind w:left="780"/>
        <w:jc w:val="center"/>
        <w:rPr>
          <w:rFonts w:hint="eastAsia"/>
        </w:rPr>
      </w:pP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选取窗函数长度为500，从图中可以看出，矩形窗（直接截断）的功率谱分析效果很差。加三角比加Blackman窗功率谱更加平滑，而加Kaiser窗的功率谱在高频部分非常平滑，在低频不平滑，频率分辨率较高。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选择加Blackman窗函数的功率谱比较开眼和闭眼的四个频段的功率最大值，如下表：</w:t>
      </w:r>
    </w:p>
    <w:tbl>
      <w:tblPr>
        <w:tblStyle w:val="6"/>
        <w:tblW w:w="94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221"/>
        <w:gridCol w:w="2126"/>
        <w:gridCol w:w="198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324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</w:p>
        </w:tc>
        <w:tc>
          <w:tcPr>
            <w:tcW w:w="2221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"https://zh.wikipedia.org/wiki/Delta%E6%B3%A2" \o "Delta波" </w:instrText>
            </w:r>
            <w:r>
              <w:fldChar w:fldCharType="separate"/>
            </w:r>
            <w:r>
              <w:rPr>
                <w:rFonts w:hint="eastAsia"/>
                <w:sz w:val="28"/>
                <w:szCs w:val="28"/>
              </w:rPr>
              <w:t>Delta（δ）</w:t>
            </w:r>
            <w:r>
              <w:rPr>
                <w:rFonts w:hint="eastAsia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"https://zh.wikipedia.org/w/index.php?title=Theta_%E6%B3%A2&amp;action=edit&amp;redlink=1" \o "Theta 波（页面不存在）" </w:instrText>
            </w:r>
            <w:r>
              <w:fldChar w:fldCharType="separate"/>
            </w:r>
            <w:r>
              <w:rPr>
                <w:rFonts w:hint="eastAsia"/>
                <w:sz w:val="28"/>
                <w:szCs w:val="28"/>
              </w:rPr>
              <w:t>Theta（θ）</w:t>
            </w:r>
            <w:r>
              <w:rPr>
                <w:rFonts w:hint="eastAsia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Alpha（α）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Beta（β）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324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闭眼</w:t>
            </w:r>
          </w:p>
        </w:tc>
        <w:tc>
          <w:tcPr>
            <w:tcW w:w="2221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359.74</w:t>
            </w:r>
          </w:p>
        </w:tc>
        <w:tc>
          <w:tcPr>
            <w:tcW w:w="2126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30.28</w:t>
            </w:r>
          </w:p>
        </w:tc>
        <w:tc>
          <w:tcPr>
            <w:tcW w:w="198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11.33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32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开眼</w:t>
            </w:r>
          </w:p>
        </w:tc>
        <w:tc>
          <w:tcPr>
            <w:tcW w:w="2221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164.39</w:t>
            </w:r>
          </w:p>
        </w:tc>
        <w:tc>
          <w:tcPr>
            <w:tcW w:w="2126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5.76</w:t>
            </w:r>
          </w:p>
        </w:tc>
        <w:tc>
          <w:tcPr>
            <w:tcW w:w="198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5.43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68.91</w:t>
            </w:r>
          </w:p>
        </w:tc>
      </w:tr>
    </w:tbl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开眼信号各频段均弱于闭眼信号，可能由于截取时域信号过短产生的误差，将截取范围扩大至整段信号（n</w:t>
      </w:r>
      <w:r>
        <w:rPr>
          <w:sz w:val="28"/>
          <w:szCs w:val="28"/>
        </w:rPr>
        <w:t>=4500</w:t>
      </w:r>
      <w:r>
        <w:rPr>
          <w:rFonts w:hint="eastAsia"/>
          <w:sz w:val="28"/>
          <w:szCs w:val="28"/>
        </w:rPr>
        <w:t>）并将功率谱取对数转为增益，如下图：</w:t>
      </w:r>
    </w:p>
    <w:p>
      <w:pPr>
        <w:ind w:firstLine="420"/>
        <w:jc w:val="left"/>
      </w:pPr>
      <w:r>
        <w:drawing>
          <wp:inline distT="0" distB="0" distL="0" distR="0">
            <wp:extent cx="4121150" cy="24574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</w:pPr>
    </w:p>
    <w:tbl>
      <w:tblPr>
        <w:tblStyle w:val="6"/>
        <w:tblW w:w="94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221"/>
        <w:gridCol w:w="2126"/>
        <w:gridCol w:w="198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</w:p>
        </w:tc>
        <w:tc>
          <w:tcPr>
            <w:tcW w:w="2221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"https://zh.wikipedia.org/wiki/Delta%E6%B3%A2" \o "Delta波" </w:instrText>
            </w:r>
            <w:r>
              <w:fldChar w:fldCharType="separate"/>
            </w:r>
            <w:r>
              <w:rPr>
                <w:rFonts w:hint="eastAsia"/>
                <w:sz w:val="28"/>
                <w:szCs w:val="28"/>
              </w:rPr>
              <w:t>Delta（δ）</w:t>
            </w:r>
            <w:r>
              <w:rPr>
                <w:rFonts w:hint="eastAsia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"https://zh.wikipedia.org/w/index.php?title=Theta_%E6%B3%A2&amp;action=edit&amp;redlink=1" \o "Theta 波（页面不存在）" </w:instrText>
            </w:r>
            <w:r>
              <w:fldChar w:fldCharType="separate"/>
            </w:r>
            <w:r>
              <w:rPr>
                <w:rFonts w:hint="eastAsia"/>
                <w:sz w:val="28"/>
                <w:szCs w:val="28"/>
              </w:rPr>
              <w:t>Theta（θ）</w:t>
            </w:r>
            <w:r>
              <w:rPr>
                <w:rFonts w:hint="eastAsia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Alpha（α）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Beta（β）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324" w:type="dxa"/>
            <w:shd w:val="clear" w:color="auto" w:fill="auto"/>
            <w:noWrap/>
          </w:tcPr>
          <w:p>
            <w:pPr>
              <w:ind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闭眼</w:t>
            </w:r>
          </w:p>
        </w:tc>
        <w:tc>
          <w:tcPr>
            <w:tcW w:w="2221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25.00</w:t>
            </w:r>
          </w:p>
        </w:tc>
        <w:tc>
          <w:tcPr>
            <w:tcW w:w="2126" w:type="dxa"/>
            <w:shd w:val="clear" w:color="auto" w:fill="auto"/>
            <w:noWrap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21.53</w:t>
            </w:r>
          </w:p>
        </w:tc>
        <w:tc>
          <w:tcPr>
            <w:tcW w:w="198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13.42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2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开眼</w:t>
            </w:r>
          </w:p>
        </w:tc>
        <w:tc>
          <w:tcPr>
            <w:tcW w:w="2221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26.51</w:t>
            </w:r>
          </w:p>
        </w:tc>
        <w:tc>
          <w:tcPr>
            <w:tcW w:w="2126" w:type="dxa"/>
            <w:shd w:val="clear" w:color="auto" w:fill="auto"/>
            <w:noWrap/>
          </w:tcPr>
          <w:p>
            <w:pPr>
              <w:ind w:firstLine="560" w:firstLineChars="20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23.35</w:t>
            </w:r>
          </w:p>
        </w:tc>
        <w:tc>
          <w:tcPr>
            <w:tcW w:w="1984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20.63</w:t>
            </w:r>
          </w:p>
        </w:tc>
        <w:tc>
          <w:tcPr>
            <w:tcW w:w="1843" w:type="dxa"/>
            <w:shd w:val="clear" w:color="auto" w:fill="auto"/>
            <w:noWrap/>
          </w:tcPr>
          <w:p>
            <w:pPr>
              <w:ind w:firstLine="42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19.50</w:t>
            </w:r>
          </w:p>
        </w:tc>
      </w:tr>
    </w:tbl>
    <w:p>
      <w:pPr>
        <w:ind w:firstLine="420"/>
        <w:jc w:val="left"/>
      </w:pPr>
    </w:p>
    <w:p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取对数后的增益，除</w:t>
      </w:r>
      <w:r>
        <w:rPr>
          <w:sz w:val="28"/>
          <w:szCs w:val="28"/>
        </w:rPr>
        <w:t>α</w:t>
      </w:r>
      <w:r>
        <w:rPr>
          <w:rFonts w:hint="eastAsia"/>
          <w:sz w:val="28"/>
          <w:szCs w:val="28"/>
        </w:rPr>
        <w:t>波段的差异较大，</w:t>
      </w:r>
      <w:r>
        <w:rPr>
          <w:sz w:val="28"/>
          <w:szCs w:val="28"/>
        </w:rPr>
        <w:t>β</w:t>
      </w:r>
      <w:r>
        <w:rPr>
          <w:rFonts w:hint="eastAsia"/>
          <w:sz w:val="28"/>
          <w:szCs w:val="28"/>
        </w:rPr>
        <w:t>波差别次之，各频段峰值接近，差别不大。 这可能是由于开眼闭眼时脑部这两个波段的活动情况不同所至。</w:t>
      </w:r>
    </w:p>
    <w:p>
      <w:pPr>
        <w:rPr>
          <w:rFonts w:hint="eastAsia"/>
          <w:bCs/>
          <w:sz w:val="24"/>
        </w:rPr>
      </w:pP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</w:p>
    <w:p>
      <w:pPr>
        <w:numPr>
          <w:ilvl w:val="0"/>
          <w:numId w:val="2"/>
        </w:numPr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>总结及心得体会：</w:t>
      </w:r>
      <w:r>
        <w:rPr>
          <w:b/>
          <w:bCs/>
          <w:color w:val="FF0000"/>
          <w:sz w:val="28"/>
        </w:rPr>
        <w:t xml:space="preserve"> </w:t>
      </w:r>
    </w:p>
    <w:p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本次实验，借助matlab的函数工具箱，产生了2种随机信号并绘图观察了两者一阶和二阶的统计差异。还对眼电信号进行功率谱分析，加不同窗函数比较了区别并分频段讨论了开眼和闭眼信号的差异。通过以上几个实验，熟悉了随机信号的特征和对于实际信号的处理 </w:t>
      </w:r>
    </w:p>
    <w:p>
      <w:pPr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十一、对本实验过程及方法、手段的改进建议：</w:t>
      </w:r>
      <w:r>
        <w:rPr>
          <w:rFonts w:hint="eastAsia"/>
          <w:sz w:val="28"/>
        </w:rPr>
        <w:t xml:space="preserve">   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希望能进行一些其他实用性更强、性能更好的的功率谱估计的方法，如直接调用matlab函数pwelch的welch法和现代谱估计方法（AR、ARMA以及非参数的谱估计）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指导教师签字：</w:t>
      </w:r>
    </w:p>
    <w:p>
      <w:pPr>
        <w:rPr>
          <w:rFonts w:hint="eastAsia"/>
          <w:b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Noto Serif CJK JP SemiBold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20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0A1DC"/>
    <w:multiLevelType w:val="singleLevel"/>
    <w:tmpl w:val="5B10A1DC"/>
    <w:lvl w:ilvl="0" w:tentative="0">
      <w:start w:val="5"/>
      <w:numFmt w:val="chineseCounting"/>
      <w:suff w:val="nothing"/>
      <w:lvlText w:val="%1、"/>
      <w:lvlJc w:val="left"/>
    </w:lvl>
  </w:abstractNum>
  <w:abstractNum w:abstractNumId="1">
    <w:nsid w:val="5B10A426"/>
    <w:multiLevelType w:val="singleLevel"/>
    <w:tmpl w:val="5B10A426"/>
    <w:lvl w:ilvl="0" w:tentative="0">
      <w:start w:val="9"/>
      <w:numFmt w:val="chineseCounting"/>
      <w:suff w:val="nothing"/>
      <w:lvlText w:val="%1、"/>
      <w:lvlJc w:val="left"/>
    </w:lvl>
  </w:abstractNum>
  <w:abstractNum w:abstractNumId="2">
    <w:nsid w:val="64D3419A"/>
    <w:multiLevelType w:val="multilevel"/>
    <w:tmpl w:val="64D3419A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 w:ascii="Times New Roman" w:hAnsi="Times New Roman"/>
        <w:color w:val="auto"/>
        <w:sz w:val="28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9D"/>
    <w:rsid w:val="00022B0F"/>
    <w:rsid w:val="00024911"/>
    <w:rsid w:val="00032561"/>
    <w:rsid w:val="00032ACB"/>
    <w:rsid w:val="00035476"/>
    <w:rsid w:val="0004139C"/>
    <w:rsid w:val="0004170D"/>
    <w:rsid w:val="00045F13"/>
    <w:rsid w:val="00090286"/>
    <w:rsid w:val="000A47C4"/>
    <w:rsid w:val="000D3D48"/>
    <w:rsid w:val="000E21EC"/>
    <w:rsid w:val="000E334F"/>
    <w:rsid w:val="000E7572"/>
    <w:rsid w:val="00135A73"/>
    <w:rsid w:val="00140866"/>
    <w:rsid w:val="00154F50"/>
    <w:rsid w:val="00174DBB"/>
    <w:rsid w:val="00182A0E"/>
    <w:rsid w:val="0019104B"/>
    <w:rsid w:val="001A061C"/>
    <w:rsid w:val="001A0B5A"/>
    <w:rsid w:val="001A7548"/>
    <w:rsid w:val="001E34DC"/>
    <w:rsid w:val="001F29DF"/>
    <w:rsid w:val="00222B6B"/>
    <w:rsid w:val="00226452"/>
    <w:rsid w:val="00267D44"/>
    <w:rsid w:val="00273634"/>
    <w:rsid w:val="002B3C53"/>
    <w:rsid w:val="002B4AF3"/>
    <w:rsid w:val="002C4755"/>
    <w:rsid w:val="002C5F04"/>
    <w:rsid w:val="002D4F4F"/>
    <w:rsid w:val="003009C7"/>
    <w:rsid w:val="0033409B"/>
    <w:rsid w:val="00342A20"/>
    <w:rsid w:val="00362866"/>
    <w:rsid w:val="00364958"/>
    <w:rsid w:val="00370F61"/>
    <w:rsid w:val="00371B4F"/>
    <w:rsid w:val="003830DF"/>
    <w:rsid w:val="003B37D6"/>
    <w:rsid w:val="003B4F5F"/>
    <w:rsid w:val="003D1B0E"/>
    <w:rsid w:val="003D2677"/>
    <w:rsid w:val="003D5989"/>
    <w:rsid w:val="003D7051"/>
    <w:rsid w:val="003E0E79"/>
    <w:rsid w:val="003F6A50"/>
    <w:rsid w:val="00403046"/>
    <w:rsid w:val="00404C7F"/>
    <w:rsid w:val="00422A33"/>
    <w:rsid w:val="00441A7A"/>
    <w:rsid w:val="00443A5E"/>
    <w:rsid w:val="004445A4"/>
    <w:rsid w:val="0044491A"/>
    <w:rsid w:val="00456A42"/>
    <w:rsid w:val="00466756"/>
    <w:rsid w:val="00472891"/>
    <w:rsid w:val="00474E4E"/>
    <w:rsid w:val="00486ED8"/>
    <w:rsid w:val="004B4BFD"/>
    <w:rsid w:val="004C00A0"/>
    <w:rsid w:val="004C31E3"/>
    <w:rsid w:val="004C7293"/>
    <w:rsid w:val="004F6C92"/>
    <w:rsid w:val="004F7CCF"/>
    <w:rsid w:val="00501096"/>
    <w:rsid w:val="00504E3A"/>
    <w:rsid w:val="00516FC9"/>
    <w:rsid w:val="00555EB2"/>
    <w:rsid w:val="005631FB"/>
    <w:rsid w:val="005659B4"/>
    <w:rsid w:val="00576925"/>
    <w:rsid w:val="005858B8"/>
    <w:rsid w:val="005B6516"/>
    <w:rsid w:val="005C5E21"/>
    <w:rsid w:val="005D751E"/>
    <w:rsid w:val="005F4CEF"/>
    <w:rsid w:val="006032F3"/>
    <w:rsid w:val="00620653"/>
    <w:rsid w:val="00634C77"/>
    <w:rsid w:val="00634D71"/>
    <w:rsid w:val="00660A4B"/>
    <w:rsid w:val="00674781"/>
    <w:rsid w:val="006926CF"/>
    <w:rsid w:val="006B49E5"/>
    <w:rsid w:val="006B4B09"/>
    <w:rsid w:val="006D784A"/>
    <w:rsid w:val="006E0F64"/>
    <w:rsid w:val="00700CC2"/>
    <w:rsid w:val="00705DD9"/>
    <w:rsid w:val="00715E59"/>
    <w:rsid w:val="00716855"/>
    <w:rsid w:val="00731CBE"/>
    <w:rsid w:val="00742808"/>
    <w:rsid w:val="00760A5C"/>
    <w:rsid w:val="007703EB"/>
    <w:rsid w:val="007A2FC1"/>
    <w:rsid w:val="007B2D61"/>
    <w:rsid w:val="007C4F19"/>
    <w:rsid w:val="007C5F3D"/>
    <w:rsid w:val="007D2FEF"/>
    <w:rsid w:val="007E1836"/>
    <w:rsid w:val="007F6494"/>
    <w:rsid w:val="00801B7C"/>
    <w:rsid w:val="008140E9"/>
    <w:rsid w:val="0086702D"/>
    <w:rsid w:val="008872F2"/>
    <w:rsid w:val="0089226A"/>
    <w:rsid w:val="008B6421"/>
    <w:rsid w:val="00905245"/>
    <w:rsid w:val="00914224"/>
    <w:rsid w:val="0092333A"/>
    <w:rsid w:val="0092466B"/>
    <w:rsid w:val="009732A4"/>
    <w:rsid w:val="00997BB2"/>
    <w:rsid w:val="009B270E"/>
    <w:rsid w:val="009B40DE"/>
    <w:rsid w:val="009B7058"/>
    <w:rsid w:val="009E6D4F"/>
    <w:rsid w:val="009F187B"/>
    <w:rsid w:val="00A333CB"/>
    <w:rsid w:val="00A42045"/>
    <w:rsid w:val="00A73E14"/>
    <w:rsid w:val="00A76F9C"/>
    <w:rsid w:val="00AA1375"/>
    <w:rsid w:val="00AD2D52"/>
    <w:rsid w:val="00AD36E5"/>
    <w:rsid w:val="00AE62DC"/>
    <w:rsid w:val="00AF1F00"/>
    <w:rsid w:val="00AF232C"/>
    <w:rsid w:val="00B0092B"/>
    <w:rsid w:val="00B02518"/>
    <w:rsid w:val="00B11BB0"/>
    <w:rsid w:val="00B44B2A"/>
    <w:rsid w:val="00B5117B"/>
    <w:rsid w:val="00B60899"/>
    <w:rsid w:val="00B96247"/>
    <w:rsid w:val="00BA19EC"/>
    <w:rsid w:val="00BA4843"/>
    <w:rsid w:val="00BA561A"/>
    <w:rsid w:val="00BD4514"/>
    <w:rsid w:val="00BE190D"/>
    <w:rsid w:val="00BF0150"/>
    <w:rsid w:val="00BF7AD9"/>
    <w:rsid w:val="00C045E7"/>
    <w:rsid w:val="00C05775"/>
    <w:rsid w:val="00C240C2"/>
    <w:rsid w:val="00C31F4C"/>
    <w:rsid w:val="00C50775"/>
    <w:rsid w:val="00C9161D"/>
    <w:rsid w:val="00C92F26"/>
    <w:rsid w:val="00CB1550"/>
    <w:rsid w:val="00CB5323"/>
    <w:rsid w:val="00CE39DF"/>
    <w:rsid w:val="00CE507B"/>
    <w:rsid w:val="00CF20B3"/>
    <w:rsid w:val="00CF4EEF"/>
    <w:rsid w:val="00CF7BD3"/>
    <w:rsid w:val="00D00A02"/>
    <w:rsid w:val="00D03558"/>
    <w:rsid w:val="00D14EEC"/>
    <w:rsid w:val="00D362BF"/>
    <w:rsid w:val="00D53C35"/>
    <w:rsid w:val="00D67943"/>
    <w:rsid w:val="00D7765A"/>
    <w:rsid w:val="00D968DB"/>
    <w:rsid w:val="00D97B73"/>
    <w:rsid w:val="00DA097F"/>
    <w:rsid w:val="00DA39A7"/>
    <w:rsid w:val="00DD5719"/>
    <w:rsid w:val="00DD60DA"/>
    <w:rsid w:val="00DD631B"/>
    <w:rsid w:val="00DD7313"/>
    <w:rsid w:val="00E01590"/>
    <w:rsid w:val="00E02BC7"/>
    <w:rsid w:val="00E10B74"/>
    <w:rsid w:val="00E335CD"/>
    <w:rsid w:val="00E36A51"/>
    <w:rsid w:val="00E50CDA"/>
    <w:rsid w:val="00E53437"/>
    <w:rsid w:val="00E63D7F"/>
    <w:rsid w:val="00E7177E"/>
    <w:rsid w:val="00E77299"/>
    <w:rsid w:val="00E92746"/>
    <w:rsid w:val="00EC450C"/>
    <w:rsid w:val="00ED284D"/>
    <w:rsid w:val="00EE4550"/>
    <w:rsid w:val="00EF0F9D"/>
    <w:rsid w:val="00F15EE5"/>
    <w:rsid w:val="00F23A12"/>
    <w:rsid w:val="00F244C3"/>
    <w:rsid w:val="00F40F6B"/>
    <w:rsid w:val="00F66E1B"/>
    <w:rsid w:val="00F7594A"/>
    <w:rsid w:val="00F90F3E"/>
    <w:rsid w:val="00FA59B6"/>
    <w:rsid w:val="00FB2858"/>
    <w:rsid w:val="00FE6A92"/>
    <w:rsid w:val="02863541"/>
    <w:rsid w:val="1408675B"/>
    <w:rsid w:val="1D142024"/>
    <w:rsid w:val="274206CF"/>
    <w:rsid w:val="4EB736F8"/>
    <w:rsid w:val="6C0B0F4A"/>
    <w:rsid w:val="75DD3F35"/>
    <w:rsid w:val="76B55A6D"/>
    <w:rsid w:val="7DBE8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  <w:style w:type="character" w:customStyle="1" w:styleId="11">
    <w:name w:val="页眉 Char"/>
    <w:link w:val="3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link w:val="4"/>
    <w:qFormat/>
    <w:uiPriority w:val="99"/>
    <w:rPr>
      <w:rFonts w:ascii="SimSun" w:hAnsi="SimSun" w:cs="SimSun"/>
      <w:sz w:val="24"/>
      <w:szCs w:val="24"/>
    </w:rPr>
  </w:style>
  <w:style w:type="character" w:customStyle="1" w:styleId="14">
    <w:name w:val="c"/>
    <w:qFormat/>
    <w:uiPriority w:val="0"/>
  </w:style>
  <w:style w:type="character" w:customStyle="1" w:styleId="15">
    <w:name w:val="n"/>
    <w:qFormat/>
    <w:uiPriority w:val="0"/>
  </w:style>
  <w:style w:type="character" w:customStyle="1" w:styleId="16">
    <w:name w:val="p"/>
    <w:qFormat/>
    <w:uiPriority w:val="0"/>
  </w:style>
  <w:style w:type="character" w:customStyle="1" w:styleId="17">
    <w:name w:val="mi"/>
    <w:qFormat/>
    <w:uiPriority w:val="0"/>
  </w:style>
  <w:style w:type="character" w:customStyle="1" w:styleId="18">
    <w:name w:val="o"/>
    <w:qFormat/>
    <w:uiPriority w:val="0"/>
  </w:style>
  <w:style w:type="character" w:customStyle="1" w:styleId="19">
    <w:name w:val="nb"/>
    <w:qFormat/>
    <w:uiPriority w:val="0"/>
  </w:style>
  <w:style w:type="character" w:customStyle="1" w:styleId="20">
    <w:name w:val="s"/>
    <w:qFormat/>
    <w:uiPriority w:val="0"/>
  </w:style>
  <w:style w:type="character" w:customStyle="1" w:styleId="21">
    <w:name w:val="k"/>
    <w:qFormat/>
    <w:uiPriority w:val="0"/>
  </w:style>
  <w:style w:type="character" w:customStyle="1" w:styleId="22">
    <w:name w:val="mf"/>
    <w:qFormat/>
    <w:uiPriority w:val="0"/>
  </w:style>
  <w:style w:type="character" w:customStyle="1" w:styleId="23">
    <w:name w:val="mathtex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emf"/><Relationship Id="rId2" Type="http://schemas.openxmlformats.org/officeDocument/2006/relationships/settings" Target="settings.xml"/><Relationship Id="rId19" Type="http://schemas.openxmlformats.org/officeDocument/2006/relationships/image" Target="media/image15.emf"/><Relationship Id="rId18" Type="http://schemas.openxmlformats.org/officeDocument/2006/relationships/image" Target="media/image14.emf"/><Relationship Id="rId17" Type="http://schemas.openxmlformats.org/officeDocument/2006/relationships/image" Target="media/image13.emf"/><Relationship Id="rId16" Type="http://schemas.openxmlformats.org/officeDocument/2006/relationships/image" Target="media/image12.emf"/><Relationship Id="rId15" Type="http://schemas.openxmlformats.org/officeDocument/2006/relationships/image" Target="media/image11.emf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21</Pages>
  <Words>2815</Words>
  <Characters>4534</Characters>
  <Lines>37</Lines>
  <Paragraphs>14</Paragraphs>
  <TotalTime>0</TotalTime>
  <ScaleCrop>false</ScaleCrop>
  <LinksUpToDate>false</LinksUpToDate>
  <CharactersWithSpaces>7335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2019-04-09T15:08:00Z</dcterms:created>
  <dc:creator>Legend User</dc:creator>
  <cp:lastModifiedBy>zhixi</cp:lastModifiedBy>
  <cp:lastPrinted>2015-03-26T14:12:00Z</cp:lastPrinted>
  <dcterms:modified xsi:type="dcterms:W3CDTF">2021-09-04T17:35:12Z</dcterms:modified>
  <dc:title>电子科技大学          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