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415" w:rsidRPr="001724E8" w:rsidRDefault="00C379DD" w:rsidP="00886CC6">
      <w:pPr>
        <w:spacing w:line="360" w:lineRule="auto"/>
        <w:rPr>
          <w:rFonts w:ascii="Times New Roman" w:hAnsi="Times New Roman"/>
          <w:b/>
          <w:sz w:val="24"/>
          <w:szCs w:val="24"/>
        </w:rPr>
      </w:pPr>
      <w:r w:rsidRPr="00886CC6">
        <w:rPr>
          <w:rFonts w:ascii="Times New Roman" w:hAnsi="Times New Roman"/>
          <w:sz w:val="24"/>
          <w:szCs w:val="24"/>
        </w:rPr>
        <w:t xml:space="preserve"> </w:t>
      </w:r>
      <w:r w:rsidRPr="001724E8">
        <w:rPr>
          <w:rFonts w:ascii="Times New Roman" w:hAnsi="Times New Roman"/>
          <w:b/>
          <w:sz w:val="24"/>
          <w:szCs w:val="24"/>
        </w:rPr>
        <w:t>CHAPTER TWO.</w:t>
      </w:r>
    </w:p>
    <w:p w:rsidR="00BC3415" w:rsidRPr="001724E8" w:rsidRDefault="00C379DD" w:rsidP="00886CC6">
      <w:pPr>
        <w:spacing w:line="360" w:lineRule="auto"/>
        <w:rPr>
          <w:rFonts w:ascii="Times New Roman" w:hAnsi="Times New Roman"/>
          <w:b/>
          <w:sz w:val="24"/>
          <w:szCs w:val="24"/>
        </w:rPr>
      </w:pPr>
      <w:r w:rsidRPr="001724E8">
        <w:rPr>
          <w:rFonts w:ascii="Times New Roman" w:hAnsi="Times New Roman"/>
          <w:b/>
          <w:sz w:val="24"/>
          <w:szCs w:val="24"/>
        </w:rPr>
        <w:t>CONCEPTUAL FRAME WORK ON WITCHCRAFT AND PROOF OF IT'S CRIME IN TANZANIA.</w:t>
      </w:r>
    </w:p>
    <w:p w:rsidR="00BC3415" w:rsidRPr="001724E8" w:rsidRDefault="00C379DD" w:rsidP="00886CC6">
      <w:pPr>
        <w:spacing w:line="360" w:lineRule="auto"/>
        <w:rPr>
          <w:rFonts w:ascii="Times New Roman" w:hAnsi="Times New Roman"/>
          <w:b/>
          <w:sz w:val="24"/>
          <w:szCs w:val="24"/>
        </w:rPr>
      </w:pPr>
      <w:r w:rsidRPr="001724E8">
        <w:rPr>
          <w:rFonts w:ascii="Times New Roman" w:hAnsi="Times New Roman"/>
          <w:b/>
          <w:sz w:val="24"/>
          <w:szCs w:val="24"/>
        </w:rPr>
        <w:t>2.0 Introduction</w:t>
      </w:r>
    </w:p>
    <w:p w:rsidR="00BC3415" w:rsidRPr="00886CC6" w:rsidRDefault="00C379DD" w:rsidP="00886CC6">
      <w:pPr>
        <w:spacing w:line="360" w:lineRule="auto"/>
        <w:rPr>
          <w:rFonts w:ascii="Times New Roman" w:hAnsi="Times New Roman"/>
          <w:sz w:val="24"/>
          <w:szCs w:val="24"/>
        </w:rPr>
      </w:pPr>
      <w:r w:rsidRPr="00886CC6">
        <w:rPr>
          <w:rFonts w:ascii="Times New Roman" w:hAnsi="Times New Roman"/>
          <w:sz w:val="24"/>
          <w:szCs w:val="24"/>
        </w:rPr>
        <w:t xml:space="preserve">This chapter gives detail the conceptual frame work which includes the concept of the witchcraft and other related concepts which are relevant to this </w:t>
      </w:r>
      <w:r w:rsidRPr="00886CC6">
        <w:rPr>
          <w:rFonts w:ascii="Times New Roman" w:hAnsi="Times New Roman"/>
          <w:sz w:val="24"/>
          <w:szCs w:val="24"/>
        </w:rPr>
        <w:t>study. It gives the key meaning of the different terms used in this study</w:t>
      </w:r>
    </w:p>
    <w:p w:rsidR="00BC3415" w:rsidRPr="001724E8" w:rsidRDefault="00C379DD" w:rsidP="00886CC6">
      <w:pPr>
        <w:spacing w:line="360" w:lineRule="auto"/>
        <w:rPr>
          <w:rFonts w:ascii="Times New Roman" w:hAnsi="Times New Roman"/>
          <w:b/>
          <w:sz w:val="24"/>
          <w:szCs w:val="24"/>
        </w:rPr>
      </w:pPr>
      <w:r w:rsidRPr="001724E8">
        <w:rPr>
          <w:rFonts w:ascii="Times New Roman" w:hAnsi="Times New Roman"/>
          <w:b/>
          <w:sz w:val="24"/>
          <w:szCs w:val="24"/>
        </w:rPr>
        <w:t xml:space="preserve">2.1 </w:t>
      </w:r>
      <w:r w:rsidRPr="001724E8">
        <w:rPr>
          <w:rFonts w:ascii="Times New Roman" w:hAnsi="Times New Roman"/>
          <w:b/>
          <w:sz w:val="24"/>
          <w:szCs w:val="24"/>
        </w:rPr>
        <w:t>Meaning of witchcraft</w:t>
      </w:r>
    </w:p>
    <w:p w:rsidR="00BC3415" w:rsidRPr="00886CC6" w:rsidRDefault="00C379DD" w:rsidP="00886CC6">
      <w:pPr>
        <w:spacing w:line="360" w:lineRule="auto"/>
        <w:rPr>
          <w:rFonts w:ascii="Times New Roman" w:hAnsi="Times New Roman"/>
          <w:sz w:val="24"/>
          <w:szCs w:val="24"/>
        </w:rPr>
      </w:pPr>
      <w:r w:rsidRPr="00886CC6">
        <w:rPr>
          <w:rFonts w:ascii="Times New Roman" w:hAnsi="Times New Roman"/>
          <w:sz w:val="24"/>
          <w:szCs w:val="24"/>
        </w:rPr>
        <w:t xml:space="preserve">According to </w:t>
      </w:r>
      <w:r w:rsidR="001724E8" w:rsidRPr="00886CC6">
        <w:rPr>
          <w:rFonts w:ascii="Times New Roman" w:hAnsi="Times New Roman"/>
          <w:sz w:val="24"/>
          <w:szCs w:val="24"/>
        </w:rPr>
        <w:t>witchcraft</w:t>
      </w:r>
      <w:r w:rsidRPr="00886CC6">
        <w:rPr>
          <w:rFonts w:ascii="Times New Roman" w:hAnsi="Times New Roman"/>
          <w:sz w:val="24"/>
          <w:szCs w:val="24"/>
        </w:rPr>
        <w:t xml:space="preserve"> Act</w:t>
      </w:r>
      <w:r w:rsidRPr="00886CC6">
        <w:rPr>
          <w:rStyle w:val="FootnoteReference"/>
          <w:rFonts w:ascii="Times New Roman" w:hAnsi="Times New Roman"/>
          <w:sz w:val="24"/>
          <w:szCs w:val="24"/>
        </w:rPr>
        <w:footnoteReference w:id="1"/>
      </w:r>
      <w:r w:rsidRPr="00886CC6">
        <w:rPr>
          <w:rFonts w:ascii="Times New Roman" w:hAnsi="Times New Roman"/>
          <w:sz w:val="24"/>
          <w:szCs w:val="24"/>
        </w:rPr>
        <w:t xml:space="preserve"> in section 2 defined "witchcraft" includes sorcery, enchantment, bewitching, the use of instrument of witchcraft, the purport</w:t>
      </w:r>
      <w:r w:rsidRPr="00886CC6">
        <w:rPr>
          <w:rFonts w:ascii="Times New Roman" w:hAnsi="Times New Roman"/>
          <w:sz w:val="24"/>
          <w:szCs w:val="24"/>
        </w:rPr>
        <w:t xml:space="preserve">ed exercise of any occult power and the purported possession of any occult knowledge. </w:t>
      </w:r>
    </w:p>
    <w:p w:rsidR="00BC3415" w:rsidRPr="00886CC6" w:rsidRDefault="00C379DD" w:rsidP="00886CC6">
      <w:pPr>
        <w:spacing w:line="360" w:lineRule="auto"/>
        <w:rPr>
          <w:rFonts w:ascii="Times New Roman" w:hAnsi="Times New Roman"/>
          <w:sz w:val="24"/>
          <w:szCs w:val="24"/>
        </w:rPr>
      </w:pPr>
      <w:r w:rsidRPr="00886CC6">
        <w:rPr>
          <w:rFonts w:ascii="Times New Roman" w:hAnsi="Times New Roman"/>
          <w:sz w:val="24"/>
          <w:szCs w:val="24"/>
        </w:rPr>
        <w:t>The concept of witchcraft and the belief in its existence have existed throughout recorded history</w:t>
      </w:r>
      <w:r w:rsidRPr="00886CC6">
        <w:rPr>
          <w:rStyle w:val="FootnoteReference"/>
          <w:rFonts w:ascii="Times New Roman" w:hAnsi="Times New Roman"/>
          <w:sz w:val="24"/>
          <w:szCs w:val="24"/>
        </w:rPr>
        <w:footnoteReference w:id="2"/>
      </w:r>
      <w:r w:rsidRPr="00886CC6">
        <w:rPr>
          <w:rFonts w:ascii="Times New Roman" w:hAnsi="Times New Roman"/>
          <w:sz w:val="24"/>
          <w:szCs w:val="24"/>
        </w:rPr>
        <w:t xml:space="preserve"> and due to deep rooted beliefs in witchcraft, witchcraft beliefs have</w:t>
      </w:r>
      <w:r w:rsidRPr="00886CC6">
        <w:rPr>
          <w:rFonts w:ascii="Times New Roman" w:hAnsi="Times New Roman"/>
          <w:sz w:val="24"/>
          <w:szCs w:val="24"/>
        </w:rPr>
        <w:t xml:space="preserve"> not declined with independence and development level but it has rather flourished in unexpected ways and entwined itself in political action and political thinking</w:t>
      </w:r>
      <w:r w:rsidRPr="00886CC6">
        <w:rPr>
          <w:rStyle w:val="FootnoteReference"/>
          <w:rFonts w:ascii="Times New Roman" w:hAnsi="Times New Roman"/>
          <w:sz w:val="24"/>
          <w:szCs w:val="24"/>
        </w:rPr>
        <w:footnoteReference w:id="3"/>
      </w:r>
      <w:r w:rsidRPr="00886CC6">
        <w:rPr>
          <w:rFonts w:ascii="Times New Roman" w:hAnsi="Times New Roman"/>
          <w:sz w:val="24"/>
          <w:szCs w:val="24"/>
        </w:rPr>
        <w:t>. It not easy to define the term because it is controversial and ambiguous shrouded in secr</w:t>
      </w:r>
      <w:r w:rsidRPr="00886CC6">
        <w:rPr>
          <w:rFonts w:ascii="Times New Roman" w:hAnsi="Times New Roman"/>
          <w:sz w:val="24"/>
          <w:szCs w:val="24"/>
        </w:rPr>
        <w:t>ecy leading people to do things they do not understand but generally it can be defined as the practice of using supernatural powers to achieve a personal goal.</w:t>
      </w:r>
      <w:r w:rsidRPr="00886CC6">
        <w:rPr>
          <w:rStyle w:val="FootnoteReference"/>
          <w:rFonts w:ascii="Times New Roman" w:hAnsi="Times New Roman"/>
          <w:sz w:val="24"/>
          <w:szCs w:val="24"/>
        </w:rPr>
        <w:footnoteReference w:id="4"/>
      </w:r>
      <w:r w:rsidRPr="00886CC6">
        <w:rPr>
          <w:rFonts w:ascii="Times New Roman" w:hAnsi="Times New Roman"/>
          <w:sz w:val="24"/>
          <w:szCs w:val="24"/>
        </w:rPr>
        <w:cr/>
        <w:t>Witchcraft practices include marketing of magical concoctions to ensure good luck, particularly</w:t>
      </w:r>
      <w:r w:rsidRPr="00886CC6">
        <w:rPr>
          <w:rFonts w:ascii="Times New Roman" w:hAnsi="Times New Roman"/>
          <w:sz w:val="24"/>
          <w:szCs w:val="24"/>
        </w:rPr>
        <w:t xml:space="preserve"> with regard to economic advantages and occult shops around the world trade in such products.</w:t>
      </w:r>
      <w:r w:rsidRPr="00886CC6">
        <w:rPr>
          <w:rStyle w:val="FootnoteReference"/>
          <w:rFonts w:ascii="Times New Roman" w:hAnsi="Times New Roman"/>
          <w:sz w:val="24"/>
          <w:szCs w:val="24"/>
        </w:rPr>
        <w:footnoteReference w:id="5"/>
      </w:r>
      <w:r w:rsidRPr="00886CC6">
        <w:rPr>
          <w:rFonts w:ascii="Times New Roman" w:hAnsi="Times New Roman"/>
          <w:sz w:val="24"/>
          <w:szCs w:val="24"/>
        </w:rPr>
        <w:t xml:space="preserve">Recently in Africa particularly Tanzania, the preparations of such concoctions often </w:t>
      </w:r>
      <w:r w:rsidRPr="00886CC6">
        <w:rPr>
          <w:rFonts w:ascii="Times New Roman" w:hAnsi="Times New Roman"/>
          <w:sz w:val="24"/>
          <w:szCs w:val="24"/>
        </w:rPr>
        <w:lastRenderedPageBreak/>
        <w:t>entail</w:t>
      </w:r>
      <w:r w:rsidRPr="00886CC6">
        <w:rPr>
          <w:rFonts w:ascii="Times New Roman" w:hAnsi="Times New Roman"/>
          <w:sz w:val="24"/>
          <w:szCs w:val="24"/>
        </w:rPr>
        <w:t xml:space="preserve"> the pervasive practice of killing people mainly PWA to acquire body p</w:t>
      </w:r>
      <w:r w:rsidRPr="00886CC6">
        <w:rPr>
          <w:rFonts w:ascii="Times New Roman" w:hAnsi="Times New Roman"/>
          <w:sz w:val="24"/>
          <w:szCs w:val="24"/>
        </w:rPr>
        <w:t>arts and organs that are sold by underground organ-hunters and then used as ingredients for the potions</w:t>
      </w:r>
      <w:r w:rsidRPr="00886CC6">
        <w:rPr>
          <w:rStyle w:val="FootnoteReference"/>
          <w:rFonts w:ascii="Times New Roman" w:hAnsi="Times New Roman"/>
          <w:sz w:val="24"/>
          <w:szCs w:val="24"/>
        </w:rPr>
        <w:footnoteReference w:id="6"/>
      </w:r>
      <w:r w:rsidRPr="00886CC6">
        <w:rPr>
          <w:rFonts w:ascii="Times New Roman" w:hAnsi="Times New Roman"/>
          <w:sz w:val="24"/>
          <w:szCs w:val="24"/>
        </w:rPr>
        <w:t>. Sometimes the practice is referred to as MUTI- MURDER OR MEDICINE MURDER, that is to say a practice of killing someone and, using his or her body part</w:t>
      </w:r>
      <w:r w:rsidRPr="00886CC6">
        <w:rPr>
          <w:rFonts w:ascii="Times New Roman" w:hAnsi="Times New Roman"/>
          <w:sz w:val="24"/>
          <w:szCs w:val="24"/>
        </w:rPr>
        <w:t>s in a medicine to bring power or luck to the killer.</w:t>
      </w:r>
      <w:r w:rsidRPr="00886CC6">
        <w:rPr>
          <w:rStyle w:val="FootnoteReference"/>
          <w:rFonts w:ascii="Times New Roman" w:hAnsi="Times New Roman"/>
          <w:sz w:val="24"/>
          <w:szCs w:val="24"/>
        </w:rPr>
        <w:footnoteReference w:id="7"/>
      </w:r>
    </w:p>
    <w:p w:rsidR="00BC3415" w:rsidRPr="00886CC6" w:rsidRDefault="00C379DD" w:rsidP="00886CC6">
      <w:pPr>
        <w:spacing w:line="360" w:lineRule="auto"/>
        <w:rPr>
          <w:rFonts w:ascii="Times New Roman" w:hAnsi="Times New Roman"/>
          <w:sz w:val="24"/>
          <w:szCs w:val="24"/>
        </w:rPr>
      </w:pPr>
      <w:r w:rsidRPr="00886CC6">
        <w:rPr>
          <w:rFonts w:ascii="Times New Roman" w:hAnsi="Times New Roman"/>
          <w:sz w:val="24"/>
          <w:szCs w:val="24"/>
        </w:rPr>
        <w:t>Due to the adverse effect of witchcraft, there is a cry that witchcraft and its beliefs need to be eradicated before they eradicate our national developmental efforts our people</w:t>
      </w:r>
      <w:r w:rsidRPr="00886CC6">
        <w:rPr>
          <w:rStyle w:val="FootnoteReference"/>
          <w:rFonts w:ascii="Times New Roman" w:hAnsi="Times New Roman"/>
          <w:sz w:val="24"/>
          <w:szCs w:val="24"/>
        </w:rPr>
        <w:footnoteReference w:id="8"/>
      </w:r>
      <w:r w:rsidRPr="00886CC6">
        <w:rPr>
          <w:rFonts w:ascii="Times New Roman" w:hAnsi="Times New Roman"/>
          <w:sz w:val="24"/>
          <w:szCs w:val="24"/>
        </w:rPr>
        <w:t xml:space="preserve"> and this had long been</w:t>
      </w:r>
      <w:r w:rsidRPr="00886CC6">
        <w:rPr>
          <w:rFonts w:ascii="Times New Roman" w:hAnsi="Times New Roman"/>
          <w:sz w:val="24"/>
          <w:szCs w:val="24"/>
        </w:rPr>
        <w:t xml:space="preserve"> a concern of Africans throughout East and Central Africa. The practice teaches Africans that body parts of PWA hold some mystical and magical powers that can make people wealthy.</w:t>
      </w:r>
      <w:r w:rsidRPr="00886CC6">
        <w:rPr>
          <w:rStyle w:val="FootnoteReference"/>
          <w:rFonts w:ascii="Times New Roman" w:hAnsi="Times New Roman"/>
          <w:sz w:val="24"/>
          <w:szCs w:val="24"/>
        </w:rPr>
        <w:footnoteReference w:id="9"/>
      </w:r>
    </w:p>
    <w:p w:rsidR="00BC3415" w:rsidRPr="00984D23" w:rsidRDefault="00C379DD" w:rsidP="00886CC6">
      <w:pPr>
        <w:spacing w:line="360" w:lineRule="auto"/>
        <w:rPr>
          <w:rFonts w:ascii="Times New Roman" w:hAnsi="Times New Roman"/>
          <w:b/>
          <w:sz w:val="24"/>
          <w:szCs w:val="24"/>
        </w:rPr>
      </w:pPr>
      <w:r w:rsidRPr="00984D23">
        <w:rPr>
          <w:rFonts w:ascii="Times New Roman" w:hAnsi="Times New Roman"/>
          <w:b/>
          <w:sz w:val="24"/>
          <w:szCs w:val="24"/>
        </w:rPr>
        <w:t xml:space="preserve">2:3 </w:t>
      </w:r>
      <w:r w:rsidRPr="00984D23">
        <w:rPr>
          <w:rFonts w:ascii="Times New Roman" w:hAnsi="Times New Roman"/>
          <w:b/>
          <w:sz w:val="24"/>
          <w:szCs w:val="24"/>
        </w:rPr>
        <w:t xml:space="preserve">Instrument of </w:t>
      </w:r>
      <w:r w:rsidR="00886CC6" w:rsidRPr="00984D23">
        <w:rPr>
          <w:rFonts w:ascii="Times New Roman" w:hAnsi="Times New Roman"/>
          <w:b/>
          <w:sz w:val="24"/>
          <w:szCs w:val="24"/>
        </w:rPr>
        <w:t>witchcraft</w:t>
      </w:r>
      <w:r w:rsidRPr="00984D23">
        <w:rPr>
          <w:rFonts w:ascii="Times New Roman" w:hAnsi="Times New Roman"/>
          <w:b/>
          <w:sz w:val="24"/>
          <w:szCs w:val="24"/>
        </w:rPr>
        <w:t xml:space="preserve"> </w:t>
      </w:r>
    </w:p>
    <w:p w:rsidR="00BC3415" w:rsidRPr="00886CC6" w:rsidRDefault="00C379DD" w:rsidP="00886CC6">
      <w:pPr>
        <w:spacing w:line="360" w:lineRule="auto"/>
        <w:rPr>
          <w:rFonts w:ascii="Times New Roman" w:hAnsi="Times New Roman"/>
          <w:sz w:val="24"/>
          <w:szCs w:val="24"/>
        </w:rPr>
      </w:pPr>
      <w:r w:rsidRPr="00886CC6">
        <w:rPr>
          <w:rFonts w:ascii="Times New Roman" w:hAnsi="Times New Roman"/>
          <w:sz w:val="24"/>
          <w:szCs w:val="24"/>
        </w:rPr>
        <w:t xml:space="preserve">According to </w:t>
      </w:r>
      <w:r w:rsidR="00886CC6" w:rsidRPr="00886CC6">
        <w:rPr>
          <w:rFonts w:ascii="Times New Roman" w:hAnsi="Times New Roman"/>
          <w:sz w:val="24"/>
          <w:szCs w:val="24"/>
        </w:rPr>
        <w:t>witchcraft</w:t>
      </w:r>
      <w:r w:rsidRPr="00886CC6">
        <w:rPr>
          <w:rFonts w:ascii="Times New Roman" w:hAnsi="Times New Roman"/>
          <w:sz w:val="24"/>
          <w:szCs w:val="24"/>
        </w:rPr>
        <w:t xml:space="preserve"> Act</w:t>
      </w:r>
      <w:r w:rsidRPr="00886CC6">
        <w:rPr>
          <w:rStyle w:val="FootnoteReference"/>
          <w:rFonts w:ascii="Times New Roman" w:hAnsi="Times New Roman"/>
          <w:sz w:val="24"/>
          <w:szCs w:val="24"/>
        </w:rPr>
        <w:footnoteReference w:id="10"/>
      </w:r>
      <w:r w:rsidRPr="00886CC6">
        <w:rPr>
          <w:rFonts w:ascii="Times New Roman" w:hAnsi="Times New Roman"/>
          <w:sz w:val="24"/>
          <w:szCs w:val="24"/>
        </w:rPr>
        <w:t xml:space="preserve"> in section 2 </w:t>
      </w:r>
      <w:r w:rsidRPr="00886CC6">
        <w:rPr>
          <w:rFonts w:ascii="Times New Roman" w:hAnsi="Times New Roman"/>
          <w:sz w:val="24"/>
          <w:szCs w:val="24"/>
        </w:rPr>
        <w:t xml:space="preserve">defined  "instrument of witchcraft" means anything which is used or intended to be used or is commonly used, or which is represented or generally believed to possess the power, to prevent or delay any person from doing any act which he may lawfully do, or </w:t>
      </w:r>
      <w:r w:rsidRPr="00886CC6">
        <w:rPr>
          <w:rFonts w:ascii="Times New Roman" w:hAnsi="Times New Roman"/>
          <w:sz w:val="24"/>
          <w:szCs w:val="24"/>
        </w:rPr>
        <w:t xml:space="preserve">to compel any person to do any act which he may lawfully refrain from doing, or to discover the person guilty of any alleged crime or other act of which complaint is made, or to cause death, injury or disease to any person or damage to any property, or to </w:t>
      </w:r>
      <w:r w:rsidRPr="00886CC6">
        <w:rPr>
          <w:rFonts w:ascii="Times New Roman" w:hAnsi="Times New Roman"/>
          <w:sz w:val="24"/>
          <w:szCs w:val="24"/>
        </w:rPr>
        <w:t xml:space="preserve">put any person in fear, or by supernatural means to produce any natural phenomena, and includes charms and medicines commonly used for any of the purposes aforesaid; </w:t>
      </w:r>
    </w:p>
    <w:p w:rsidR="00234319" w:rsidRDefault="00C379DD" w:rsidP="00886CC6">
      <w:pPr>
        <w:spacing w:line="360" w:lineRule="auto"/>
        <w:rPr>
          <w:rFonts w:ascii="Times New Roman" w:hAnsi="Times New Roman"/>
          <w:b/>
          <w:sz w:val="24"/>
          <w:szCs w:val="24"/>
        </w:rPr>
      </w:pPr>
      <w:r w:rsidRPr="001724E8">
        <w:rPr>
          <w:rFonts w:ascii="Times New Roman" w:hAnsi="Times New Roman"/>
          <w:b/>
          <w:sz w:val="24"/>
          <w:szCs w:val="24"/>
        </w:rPr>
        <w:t xml:space="preserve"> </w:t>
      </w:r>
    </w:p>
    <w:p w:rsidR="00234319" w:rsidRDefault="00234319" w:rsidP="00886CC6">
      <w:pPr>
        <w:spacing w:line="360" w:lineRule="auto"/>
        <w:rPr>
          <w:rFonts w:ascii="Times New Roman" w:hAnsi="Times New Roman"/>
          <w:b/>
          <w:sz w:val="24"/>
          <w:szCs w:val="24"/>
        </w:rPr>
      </w:pPr>
    </w:p>
    <w:p w:rsidR="00234319" w:rsidRDefault="00234319" w:rsidP="00886CC6">
      <w:pPr>
        <w:spacing w:line="360" w:lineRule="auto"/>
        <w:rPr>
          <w:rFonts w:ascii="Times New Roman" w:hAnsi="Times New Roman"/>
          <w:b/>
          <w:sz w:val="24"/>
          <w:szCs w:val="24"/>
        </w:rPr>
      </w:pPr>
    </w:p>
    <w:p w:rsidR="00234319" w:rsidRDefault="00234319" w:rsidP="00886CC6">
      <w:pPr>
        <w:spacing w:line="360" w:lineRule="auto"/>
        <w:rPr>
          <w:rFonts w:ascii="Times New Roman" w:hAnsi="Times New Roman"/>
          <w:b/>
          <w:sz w:val="24"/>
          <w:szCs w:val="24"/>
        </w:rPr>
      </w:pPr>
    </w:p>
    <w:p w:rsidR="00234319" w:rsidRDefault="00C379DD" w:rsidP="00886CC6">
      <w:pPr>
        <w:spacing w:line="360" w:lineRule="auto"/>
        <w:rPr>
          <w:rFonts w:ascii="Times New Roman" w:hAnsi="Times New Roman"/>
          <w:b/>
          <w:sz w:val="24"/>
          <w:szCs w:val="24"/>
        </w:rPr>
      </w:pPr>
      <w:r w:rsidRPr="001724E8">
        <w:rPr>
          <w:rFonts w:ascii="Times New Roman" w:hAnsi="Times New Roman"/>
          <w:b/>
          <w:sz w:val="24"/>
          <w:szCs w:val="24"/>
        </w:rPr>
        <w:lastRenderedPageBreak/>
        <w:t xml:space="preserve">2.4 </w:t>
      </w:r>
      <w:r w:rsidRPr="001724E8">
        <w:rPr>
          <w:rFonts w:ascii="Times New Roman" w:hAnsi="Times New Roman"/>
          <w:b/>
          <w:sz w:val="24"/>
          <w:szCs w:val="24"/>
        </w:rPr>
        <w:t>Witchdoctors</w:t>
      </w:r>
      <w:r w:rsidR="007625AB">
        <w:rPr>
          <w:rFonts w:ascii="Times New Roman" w:hAnsi="Times New Roman"/>
          <w:b/>
          <w:sz w:val="24"/>
          <w:szCs w:val="24"/>
        </w:rPr>
        <w:t xml:space="preserve"> </w:t>
      </w:r>
    </w:p>
    <w:p w:rsidR="00BC3415" w:rsidRPr="007F6785" w:rsidRDefault="00C379DD" w:rsidP="00886CC6">
      <w:pPr>
        <w:spacing w:line="360" w:lineRule="auto"/>
        <w:rPr>
          <w:rFonts w:ascii="Times New Roman" w:hAnsi="Times New Roman"/>
          <w:b/>
          <w:sz w:val="24"/>
          <w:szCs w:val="24"/>
        </w:rPr>
      </w:pPr>
      <w:r w:rsidRPr="00886CC6">
        <w:rPr>
          <w:rFonts w:ascii="Times New Roman" w:hAnsi="Times New Roman"/>
          <w:sz w:val="24"/>
          <w:szCs w:val="24"/>
        </w:rPr>
        <w:t>In African traditional knowledge witchdoctors are central characters i</w:t>
      </w:r>
      <w:r w:rsidRPr="00886CC6">
        <w:rPr>
          <w:rFonts w:ascii="Times New Roman" w:hAnsi="Times New Roman"/>
          <w:sz w:val="24"/>
          <w:szCs w:val="24"/>
        </w:rPr>
        <w:t>n their respective communities because they are regarded as the link with ancestors.</w:t>
      </w:r>
      <w:r w:rsidRPr="00886CC6">
        <w:rPr>
          <w:rStyle w:val="FootnoteReference"/>
          <w:rFonts w:ascii="Times New Roman" w:hAnsi="Times New Roman"/>
          <w:sz w:val="24"/>
          <w:szCs w:val="24"/>
        </w:rPr>
        <w:footnoteReference w:id="11"/>
      </w:r>
      <w:r w:rsidRPr="00886CC6">
        <w:rPr>
          <w:rFonts w:ascii="Times New Roman" w:hAnsi="Times New Roman"/>
          <w:sz w:val="24"/>
          <w:szCs w:val="24"/>
        </w:rPr>
        <w:t xml:space="preserve"> Ancestors are believed to be more powerful and having influence on their living descendants. Therefore, spiritual assistance is important in order for one to obtain good </w:t>
      </w:r>
      <w:r w:rsidRPr="00886CC6">
        <w:rPr>
          <w:rFonts w:ascii="Times New Roman" w:hAnsi="Times New Roman"/>
          <w:sz w:val="24"/>
          <w:szCs w:val="24"/>
        </w:rPr>
        <w:t>life on earth.</w:t>
      </w:r>
      <w:r w:rsidRPr="00886CC6">
        <w:rPr>
          <w:rStyle w:val="FootnoteReference"/>
          <w:rFonts w:ascii="Times New Roman" w:hAnsi="Times New Roman"/>
          <w:sz w:val="24"/>
          <w:szCs w:val="24"/>
        </w:rPr>
        <w:footnoteReference w:id="12"/>
      </w:r>
      <w:r w:rsidRPr="00886CC6">
        <w:rPr>
          <w:rFonts w:ascii="Times New Roman" w:hAnsi="Times New Roman"/>
          <w:sz w:val="24"/>
          <w:szCs w:val="24"/>
        </w:rPr>
        <w:t>Traditional healers, witchdoctors or herbalists in principle are the same thing in African societies and therefore, in most cases, the words are used interchangeably. However, now days many witch doctors prefer the term Traditional healer in</w:t>
      </w:r>
      <w:r w:rsidRPr="00886CC6">
        <w:rPr>
          <w:rFonts w:ascii="Times New Roman" w:hAnsi="Times New Roman"/>
          <w:sz w:val="24"/>
          <w:szCs w:val="24"/>
        </w:rPr>
        <w:t>stead of witch</w:t>
      </w:r>
      <w:r w:rsidRPr="00886CC6">
        <w:rPr>
          <w:rFonts w:ascii="Times New Roman" w:hAnsi="Times New Roman"/>
          <w:sz w:val="24"/>
          <w:szCs w:val="24"/>
        </w:rPr>
        <w:t>doctor the latter being a colonial term that may connote straight forward witchcraft rather than healing.</w:t>
      </w:r>
      <w:r w:rsidRPr="00886CC6">
        <w:rPr>
          <w:rStyle w:val="FootnoteReference"/>
          <w:rFonts w:ascii="Times New Roman" w:hAnsi="Times New Roman"/>
          <w:sz w:val="24"/>
          <w:szCs w:val="24"/>
        </w:rPr>
        <w:footnoteReference w:id="13"/>
      </w:r>
      <w:r w:rsidRPr="00886CC6">
        <w:rPr>
          <w:rFonts w:ascii="Times New Roman" w:hAnsi="Times New Roman"/>
          <w:sz w:val="24"/>
          <w:szCs w:val="24"/>
        </w:rPr>
        <w:cr/>
        <w:t>In Tanzania, those who are registered into the Register of Traditional and alternative health are termed as Traditional health practit</w:t>
      </w:r>
      <w:r w:rsidRPr="00886CC6">
        <w:rPr>
          <w:rFonts w:ascii="Times New Roman" w:hAnsi="Times New Roman"/>
          <w:sz w:val="24"/>
          <w:szCs w:val="24"/>
        </w:rPr>
        <w:t>ioners, meaning, any person who is recognized by the community in which he lives as competent to provide health care by using plants, animal, mineral substances and other methods based on social, cultural and religious background as well as on the knowledg</w:t>
      </w:r>
      <w:r w:rsidRPr="00886CC6">
        <w:rPr>
          <w:rFonts w:ascii="Times New Roman" w:hAnsi="Times New Roman"/>
          <w:sz w:val="24"/>
          <w:szCs w:val="24"/>
        </w:rPr>
        <w:t>e, attitudes and beliefs that are prevalent in the community regarding physical, mental and social well-being and the cause of disease and disability</w:t>
      </w:r>
      <w:r w:rsidRPr="00886CC6">
        <w:rPr>
          <w:rStyle w:val="FootnoteReference"/>
          <w:rFonts w:ascii="Times New Roman" w:hAnsi="Times New Roman"/>
          <w:sz w:val="24"/>
          <w:szCs w:val="24"/>
        </w:rPr>
        <w:footnoteReference w:id="14"/>
      </w:r>
      <w:r w:rsidRPr="00886CC6">
        <w:rPr>
          <w:rFonts w:ascii="Times New Roman" w:hAnsi="Times New Roman"/>
          <w:sz w:val="24"/>
          <w:szCs w:val="24"/>
        </w:rPr>
        <w:t>. Nonetheless, it has been reported that there are traditional healers who abuse their profession and enga</w:t>
      </w:r>
      <w:r w:rsidRPr="00886CC6">
        <w:rPr>
          <w:rFonts w:ascii="Times New Roman" w:hAnsi="Times New Roman"/>
          <w:sz w:val="24"/>
          <w:szCs w:val="24"/>
        </w:rPr>
        <w:t>ge in nefarious activities like killing or demanding for albino body parts. That is why there is no way to call the genuine herbalists or traditional healers.</w:t>
      </w:r>
      <w:r w:rsidRPr="00886CC6">
        <w:rPr>
          <w:rStyle w:val="FootnoteReference"/>
          <w:rFonts w:ascii="Times New Roman" w:hAnsi="Times New Roman"/>
          <w:sz w:val="24"/>
          <w:szCs w:val="24"/>
        </w:rPr>
        <w:footnoteReference w:id="15"/>
      </w:r>
    </w:p>
    <w:p w:rsidR="00F55DD8" w:rsidRDefault="00F55DD8" w:rsidP="00886CC6">
      <w:pPr>
        <w:spacing w:line="360" w:lineRule="auto"/>
        <w:rPr>
          <w:rFonts w:ascii="Times New Roman" w:hAnsi="Times New Roman"/>
          <w:sz w:val="24"/>
          <w:szCs w:val="24"/>
        </w:rPr>
      </w:pPr>
    </w:p>
    <w:p w:rsidR="00F55DD8" w:rsidRDefault="00F55DD8" w:rsidP="00886CC6">
      <w:pPr>
        <w:spacing w:line="360" w:lineRule="auto"/>
        <w:rPr>
          <w:rFonts w:ascii="Times New Roman" w:hAnsi="Times New Roman"/>
          <w:sz w:val="24"/>
          <w:szCs w:val="24"/>
        </w:rPr>
      </w:pPr>
    </w:p>
    <w:p w:rsidR="00BC3415" w:rsidRPr="00886CC6" w:rsidRDefault="00C379DD" w:rsidP="00886CC6">
      <w:pPr>
        <w:spacing w:line="360" w:lineRule="auto"/>
        <w:rPr>
          <w:rFonts w:ascii="Times New Roman" w:hAnsi="Times New Roman"/>
          <w:sz w:val="24"/>
          <w:szCs w:val="24"/>
        </w:rPr>
      </w:pPr>
      <w:r w:rsidRPr="00886CC6">
        <w:rPr>
          <w:rFonts w:ascii="Times New Roman" w:hAnsi="Times New Roman"/>
          <w:sz w:val="24"/>
          <w:szCs w:val="24"/>
        </w:rPr>
        <w:lastRenderedPageBreak/>
        <w:t xml:space="preserve">According to Robinson witchdoctors are also spiritual specialists who attempt to counteract the </w:t>
      </w:r>
      <w:r w:rsidRPr="00886CC6">
        <w:rPr>
          <w:rFonts w:ascii="Times New Roman" w:hAnsi="Times New Roman"/>
          <w:sz w:val="24"/>
          <w:szCs w:val="24"/>
        </w:rPr>
        <w:t>powers of the witches who are believed to be causes of all undesirable situations in the</w:t>
      </w:r>
      <w:r w:rsidRPr="00886CC6">
        <w:rPr>
          <w:rFonts w:ascii="Times New Roman" w:hAnsi="Times New Roman"/>
          <w:sz w:val="24"/>
          <w:szCs w:val="24"/>
        </w:rPr>
        <w:t xml:space="preserve"> </w:t>
      </w:r>
      <w:r w:rsidRPr="00886CC6">
        <w:rPr>
          <w:rFonts w:ascii="Times New Roman" w:hAnsi="Times New Roman"/>
          <w:sz w:val="24"/>
          <w:szCs w:val="24"/>
        </w:rPr>
        <w:t>community.</w:t>
      </w:r>
      <w:r w:rsidRPr="00886CC6">
        <w:rPr>
          <w:rStyle w:val="FootnoteReference"/>
          <w:rFonts w:ascii="Times New Roman" w:hAnsi="Times New Roman"/>
          <w:sz w:val="24"/>
          <w:szCs w:val="24"/>
        </w:rPr>
        <w:footnoteReference w:id="16"/>
      </w:r>
      <w:r w:rsidRPr="00886CC6">
        <w:rPr>
          <w:rFonts w:ascii="Times New Roman" w:hAnsi="Times New Roman"/>
          <w:sz w:val="24"/>
          <w:szCs w:val="24"/>
        </w:rPr>
        <w:cr/>
      </w:r>
      <w:r w:rsidRPr="00984D23">
        <w:rPr>
          <w:rFonts w:ascii="Times New Roman" w:hAnsi="Times New Roman"/>
          <w:b/>
          <w:sz w:val="24"/>
          <w:szCs w:val="24"/>
        </w:rPr>
        <w:t>2:5 proof of the case.</w:t>
      </w:r>
    </w:p>
    <w:p w:rsidR="00BC3415" w:rsidRPr="00886CC6" w:rsidRDefault="00C379DD" w:rsidP="00886CC6">
      <w:pPr>
        <w:spacing w:line="360" w:lineRule="auto"/>
        <w:rPr>
          <w:rFonts w:ascii="Times New Roman" w:hAnsi="Times New Roman"/>
          <w:sz w:val="24"/>
          <w:szCs w:val="24"/>
        </w:rPr>
      </w:pPr>
      <w:r w:rsidRPr="00886CC6">
        <w:rPr>
          <w:rFonts w:ascii="Times New Roman" w:hAnsi="Times New Roman"/>
          <w:sz w:val="24"/>
          <w:szCs w:val="24"/>
        </w:rPr>
        <w:t>consider the law of evidence act</w:t>
      </w:r>
      <w:r w:rsidRPr="00886CC6">
        <w:rPr>
          <w:rStyle w:val="FootnoteReference"/>
          <w:rFonts w:ascii="Times New Roman" w:hAnsi="Times New Roman"/>
          <w:sz w:val="24"/>
          <w:szCs w:val="24"/>
        </w:rPr>
        <w:footnoteReference w:id="17"/>
      </w:r>
      <w:r w:rsidRPr="00886CC6">
        <w:rPr>
          <w:rFonts w:ascii="Times New Roman" w:hAnsi="Times New Roman"/>
          <w:sz w:val="24"/>
          <w:szCs w:val="24"/>
        </w:rPr>
        <w:t xml:space="preserve">  provide the duty to who allege must proof, in section 110 which provide that, whoever desires any</w:t>
      </w:r>
      <w:r w:rsidRPr="00886CC6">
        <w:rPr>
          <w:rFonts w:ascii="Times New Roman" w:hAnsi="Times New Roman"/>
          <w:sz w:val="24"/>
          <w:szCs w:val="24"/>
        </w:rPr>
        <w:t xml:space="preserve"> court to give judgment as to any legal right or liability dependent on the existence of fact which he asserts must prove that those facts exist and the person who is bound to prove the existence of any fact it is said that the burden of proof lies on that</w:t>
      </w:r>
      <w:r w:rsidRPr="00886CC6">
        <w:rPr>
          <w:rFonts w:ascii="Times New Roman" w:hAnsi="Times New Roman"/>
          <w:sz w:val="24"/>
          <w:szCs w:val="24"/>
        </w:rPr>
        <w:t xml:space="preserve"> person , the law and their regulatory mechanism were meant to control the problem of witchcraft crimes, therefore the law of witchcraft is week to meet the proof of the witchcraft crimes since law failed to provide the ingredient or element of witchcraft </w:t>
      </w:r>
      <w:r w:rsidRPr="00886CC6">
        <w:rPr>
          <w:rFonts w:ascii="Times New Roman" w:hAnsi="Times New Roman"/>
          <w:sz w:val="24"/>
          <w:szCs w:val="24"/>
        </w:rPr>
        <w:t>crimes because law proved the offences and punishment but law did not provide how these are committed so this make a difficult to proof these crimes in the court unless the accused person plead guilty</w:t>
      </w:r>
      <w:r w:rsidRPr="00886CC6">
        <w:rPr>
          <w:rStyle w:val="FootnoteReference"/>
          <w:rFonts w:ascii="Times New Roman" w:hAnsi="Times New Roman"/>
          <w:sz w:val="24"/>
          <w:szCs w:val="24"/>
        </w:rPr>
        <w:footnoteReference w:id="18"/>
      </w:r>
      <w:r w:rsidRPr="00886CC6">
        <w:rPr>
          <w:rFonts w:ascii="Times New Roman" w:hAnsi="Times New Roman"/>
          <w:sz w:val="24"/>
          <w:szCs w:val="24"/>
        </w:rPr>
        <w:t>.</w:t>
      </w:r>
      <w:r w:rsidRPr="00886CC6">
        <w:rPr>
          <w:rFonts w:ascii="Times New Roman" w:hAnsi="Times New Roman"/>
          <w:sz w:val="24"/>
          <w:szCs w:val="24"/>
        </w:rPr>
        <w:cr/>
        <w:t xml:space="preserve"> According to </w:t>
      </w:r>
      <w:r w:rsidR="001724E8">
        <w:rPr>
          <w:rFonts w:ascii="Times New Roman" w:hAnsi="Times New Roman"/>
          <w:sz w:val="24"/>
          <w:szCs w:val="24"/>
        </w:rPr>
        <w:t>researcher</w:t>
      </w:r>
      <w:r w:rsidR="00984D23">
        <w:rPr>
          <w:rFonts w:ascii="Times New Roman" w:hAnsi="Times New Roman"/>
          <w:sz w:val="24"/>
          <w:szCs w:val="24"/>
        </w:rPr>
        <w:t>.</w:t>
      </w:r>
      <w:r w:rsidRPr="00886CC6">
        <w:rPr>
          <w:rFonts w:ascii="Times New Roman" w:hAnsi="Times New Roman"/>
          <w:sz w:val="24"/>
          <w:szCs w:val="24"/>
        </w:rPr>
        <w:t xml:space="preserve"> Proof is the evidence used to</w:t>
      </w:r>
      <w:r w:rsidRPr="00886CC6">
        <w:rPr>
          <w:rFonts w:ascii="Times New Roman" w:hAnsi="Times New Roman"/>
          <w:sz w:val="24"/>
          <w:szCs w:val="24"/>
        </w:rPr>
        <w:t xml:space="preserve"> either support or ascertain that something happened or that a person’s statement is true. Proof is a requirement in any criminal trial. Criminal statutes have several </w:t>
      </w:r>
      <w:proofErr w:type="gramStart"/>
      <w:r w:rsidRPr="00886CC6">
        <w:rPr>
          <w:rFonts w:ascii="Times New Roman" w:hAnsi="Times New Roman"/>
          <w:sz w:val="24"/>
          <w:szCs w:val="24"/>
        </w:rPr>
        <w:t>element</w:t>
      </w:r>
      <w:r w:rsidR="00B85BE0">
        <w:rPr>
          <w:rFonts w:ascii="Times New Roman" w:hAnsi="Times New Roman"/>
          <w:sz w:val="24"/>
          <w:szCs w:val="24"/>
        </w:rPr>
        <w:t xml:space="preserve"> ,</w:t>
      </w:r>
      <w:proofErr w:type="gramEnd"/>
      <w:r w:rsidRPr="00886CC6">
        <w:rPr>
          <w:rFonts w:ascii="Times New Roman" w:hAnsi="Times New Roman"/>
          <w:sz w:val="24"/>
          <w:szCs w:val="24"/>
        </w:rPr>
        <w:t xml:space="preserve"> </w:t>
      </w:r>
      <w:r w:rsidRPr="00886CC6">
        <w:rPr>
          <w:rFonts w:ascii="Times New Roman" w:hAnsi="Times New Roman"/>
          <w:sz w:val="24"/>
          <w:szCs w:val="24"/>
        </w:rPr>
        <w:t xml:space="preserve">each of which must be proven beyond a reasonable doubt. Absent such evidence, </w:t>
      </w:r>
      <w:r w:rsidRPr="00886CC6">
        <w:rPr>
          <w:rFonts w:ascii="Times New Roman" w:hAnsi="Times New Roman"/>
          <w:sz w:val="24"/>
          <w:szCs w:val="24"/>
        </w:rPr>
        <w:t>a person cannot be convicted of a crime. The burden of proof or rather, who is required to supply evidence proving that something is true–falls upon the prosecution in criminal cases</w:t>
      </w:r>
      <w:r w:rsidRPr="00886CC6">
        <w:rPr>
          <w:rStyle w:val="FootnoteReference"/>
          <w:rFonts w:ascii="Times New Roman" w:hAnsi="Times New Roman"/>
          <w:sz w:val="24"/>
          <w:szCs w:val="24"/>
        </w:rPr>
        <w:footnoteReference w:id="19"/>
      </w:r>
      <w:r w:rsidRPr="00886CC6">
        <w:rPr>
          <w:rFonts w:ascii="Times New Roman" w:hAnsi="Times New Roman"/>
          <w:sz w:val="24"/>
          <w:szCs w:val="24"/>
        </w:rPr>
        <w:t>.</w:t>
      </w:r>
    </w:p>
    <w:p w:rsidR="00BC3415" w:rsidRPr="00886CC6" w:rsidRDefault="00C379DD" w:rsidP="00886CC6">
      <w:pPr>
        <w:spacing w:line="360" w:lineRule="auto"/>
        <w:rPr>
          <w:rFonts w:ascii="Times New Roman" w:hAnsi="Times New Roman"/>
          <w:sz w:val="24"/>
          <w:szCs w:val="24"/>
        </w:rPr>
      </w:pPr>
      <w:r w:rsidRPr="00886CC6">
        <w:rPr>
          <w:rFonts w:ascii="Times New Roman" w:hAnsi="Times New Roman"/>
          <w:sz w:val="24"/>
          <w:szCs w:val="24"/>
        </w:rPr>
        <w:t>Proof is also a requirement in civil trials, though the standard proof</w:t>
      </w:r>
      <w:r w:rsidRPr="00886CC6">
        <w:rPr>
          <w:rFonts w:ascii="Times New Roman" w:hAnsi="Times New Roman"/>
          <w:sz w:val="24"/>
          <w:szCs w:val="24"/>
        </w:rPr>
        <w:t xml:space="preserve"> needs to meet is not “beyond a reasonable doubt.” Instead, the standard of proof is by a preponderance of the evidence, which means it must be more likely than not that something happened. Generally, plaintiffs have the </w:t>
      </w:r>
      <w:r w:rsidRPr="00886CC6">
        <w:rPr>
          <w:rFonts w:ascii="Times New Roman" w:hAnsi="Times New Roman"/>
          <w:sz w:val="24"/>
          <w:szCs w:val="24"/>
        </w:rPr>
        <w:lastRenderedPageBreak/>
        <w:t>burden of proof and must supply evi</w:t>
      </w:r>
      <w:r w:rsidRPr="00886CC6">
        <w:rPr>
          <w:rFonts w:ascii="Times New Roman" w:hAnsi="Times New Roman"/>
          <w:sz w:val="24"/>
          <w:szCs w:val="24"/>
        </w:rPr>
        <w:t>dence that the claims they allege are accurate, though sometimes the burden of proof switches to defendants</w:t>
      </w:r>
      <w:r w:rsidRPr="00886CC6">
        <w:rPr>
          <w:rStyle w:val="FootnoteReference"/>
          <w:rFonts w:ascii="Times New Roman" w:hAnsi="Times New Roman"/>
          <w:sz w:val="24"/>
          <w:szCs w:val="24"/>
        </w:rPr>
        <w:footnoteReference w:id="20"/>
      </w:r>
      <w:r w:rsidRPr="00886CC6">
        <w:rPr>
          <w:rFonts w:ascii="Times New Roman" w:hAnsi="Times New Roman"/>
          <w:sz w:val="24"/>
          <w:szCs w:val="24"/>
        </w:rPr>
        <w:t>.</w:t>
      </w:r>
    </w:p>
    <w:p w:rsidR="00BC3415" w:rsidRPr="00886CC6" w:rsidRDefault="00C379DD" w:rsidP="00886CC6">
      <w:pPr>
        <w:spacing w:line="360" w:lineRule="auto"/>
        <w:rPr>
          <w:rFonts w:ascii="Times New Roman" w:hAnsi="Times New Roman"/>
          <w:sz w:val="24"/>
          <w:szCs w:val="24"/>
        </w:rPr>
      </w:pPr>
      <w:r w:rsidRPr="00886CC6">
        <w:rPr>
          <w:rFonts w:ascii="Times New Roman" w:hAnsi="Times New Roman"/>
          <w:sz w:val="24"/>
          <w:szCs w:val="24"/>
        </w:rPr>
        <w:t xml:space="preserve">The plaintiff or prosecutor generally has </w:t>
      </w:r>
      <w:r w:rsidRPr="00886CC6">
        <w:rPr>
          <w:rFonts w:ascii="Times New Roman" w:hAnsi="Times New Roman"/>
          <w:sz w:val="24"/>
          <w:szCs w:val="24"/>
        </w:rPr>
        <w:t xml:space="preserve">the burden of proving the case, including every element of it.   The defendant often has the burden of </w:t>
      </w:r>
      <w:r w:rsidRPr="00886CC6">
        <w:rPr>
          <w:rFonts w:ascii="Times New Roman" w:hAnsi="Times New Roman"/>
          <w:sz w:val="24"/>
          <w:szCs w:val="24"/>
        </w:rPr>
        <w:t>proving any defense. The trier of fact determines whether a party met the burden of   proof at trial. The trier of fact would be a judge in a nonjury or bench trial. In a criminal case, the trier of fact is almost always a jury because of the right to a ju</w:t>
      </w:r>
      <w:r w:rsidRPr="00886CC6">
        <w:rPr>
          <w:rFonts w:ascii="Times New Roman" w:hAnsi="Times New Roman"/>
          <w:sz w:val="24"/>
          <w:szCs w:val="24"/>
        </w:rPr>
        <w:t>ry trial in the Sixth Amendment.   Jurors are not legal experts, so the judge explains the burden of proof in jury instructions, which are a common source of appeal</w:t>
      </w:r>
      <w:r w:rsidRPr="00886CC6">
        <w:rPr>
          <w:rStyle w:val="FootnoteReference"/>
          <w:rFonts w:ascii="Times New Roman" w:hAnsi="Times New Roman"/>
          <w:sz w:val="24"/>
          <w:szCs w:val="24"/>
        </w:rPr>
        <w:footnoteReference w:id="21"/>
      </w:r>
      <w:r w:rsidRPr="00886CC6">
        <w:rPr>
          <w:rFonts w:ascii="Times New Roman" w:hAnsi="Times New Roman"/>
          <w:sz w:val="24"/>
          <w:szCs w:val="24"/>
        </w:rPr>
        <w:t>.</w:t>
      </w:r>
    </w:p>
    <w:p w:rsidR="00BC3415" w:rsidRPr="00886CC6" w:rsidRDefault="00C379DD" w:rsidP="00886CC6">
      <w:pPr>
        <w:spacing w:line="360" w:lineRule="auto"/>
        <w:rPr>
          <w:rFonts w:ascii="Times New Roman" w:hAnsi="Times New Roman"/>
          <w:sz w:val="24"/>
          <w:szCs w:val="24"/>
        </w:rPr>
      </w:pPr>
      <w:r w:rsidRPr="001724E8">
        <w:rPr>
          <w:rFonts w:ascii="Times New Roman" w:hAnsi="Times New Roman"/>
          <w:b/>
          <w:sz w:val="24"/>
          <w:szCs w:val="24"/>
        </w:rPr>
        <w:t>2.6 Conclusion</w:t>
      </w:r>
      <w:r w:rsidRPr="00886CC6">
        <w:rPr>
          <w:rFonts w:ascii="Times New Roman" w:hAnsi="Times New Roman"/>
          <w:sz w:val="24"/>
          <w:szCs w:val="24"/>
        </w:rPr>
        <w:cr/>
        <w:t xml:space="preserve">This chapter has   presented the </w:t>
      </w:r>
      <w:r w:rsidRPr="00886CC6">
        <w:rPr>
          <w:rFonts w:ascii="Times New Roman" w:hAnsi="Times New Roman"/>
          <w:sz w:val="24"/>
          <w:szCs w:val="24"/>
        </w:rPr>
        <w:t>conceptual framework of this study by gi</w:t>
      </w:r>
      <w:r w:rsidRPr="00886CC6">
        <w:rPr>
          <w:rFonts w:ascii="Times New Roman" w:hAnsi="Times New Roman"/>
          <w:sz w:val="24"/>
          <w:szCs w:val="24"/>
        </w:rPr>
        <w:t>ving the meaning and definitions of various key terms used so as to make the reader or any consumer of this work understand it clearly.   The same has also explained different perceptions available in the community towards witchcraft crimes.    Finally, it</w:t>
      </w:r>
      <w:r w:rsidRPr="00886CC6">
        <w:rPr>
          <w:rFonts w:ascii="Times New Roman" w:hAnsi="Times New Roman"/>
          <w:sz w:val="24"/>
          <w:szCs w:val="24"/>
        </w:rPr>
        <w:t xml:space="preserve"> discussed witchcraft and its consequences; one of it is the killing of </w:t>
      </w:r>
      <w:r w:rsidRPr="00886CC6">
        <w:rPr>
          <w:rFonts w:ascii="Times New Roman" w:hAnsi="Times New Roman"/>
          <w:sz w:val="24"/>
          <w:szCs w:val="24"/>
        </w:rPr>
        <w:t>PWA</w:t>
      </w:r>
      <w:r w:rsidR="00901EA2">
        <w:rPr>
          <w:rFonts w:ascii="Times New Roman" w:hAnsi="Times New Roman"/>
          <w:sz w:val="24"/>
          <w:szCs w:val="24"/>
        </w:rPr>
        <w:t xml:space="preserve"> </w:t>
      </w:r>
      <w:r w:rsidRPr="00886CC6">
        <w:rPr>
          <w:rFonts w:ascii="Times New Roman" w:hAnsi="Times New Roman"/>
          <w:sz w:val="24"/>
          <w:szCs w:val="24"/>
        </w:rPr>
        <w:t>(people with albino).</w:t>
      </w:r>
      <w:r w:rsidRPr="00886CC6">
        <w:rPr>
          <w:rFonts w:ascii="Times New Roman" w:hAnsi="Times New Roman"/>
          <w:sz w:val="24"/>
          <w:szCs w:val="24"/>
        </w:rPr>
        <w:cr/>
      </w:r>
    </w:p>
    <w:sectPr w:rsidR="00BC3415" w:rsidRPr="00886C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9DD" w:rsidRDefault="00C379DD">
      <w:pPr>
        <w:spacing w:after="0" w:line="240" w:lineRule="auto"/>
      </w:pPr>
      <w:r>
        <w:separator/>
      </w:r>
    </w:p>
  </w:endnote>
  <w:endnote w:type="continuationSeparator" w:id="0">
    <w:p w:rsidR="00C379DD" w:rsidRDefault="00C37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9DD" w:rsidRDefault="00C379DD">
      <w:pPr>
        <w:spacing w:after="0" w:line="240" w:lineRule="auto"/>
      </w:pPr>
      <w:r>
        <w:separator/>
      </w:r>
    </w:p>
  </w:footnote>
  <w:footnote w:type="continuationSeparator" w:id="0">
    <w:p w:rsidR="00C379DD" w:rsidRDefault="00C379DD">
      <w:pPr>
        <w:spacing w:after="0" w:line="240" w:lineRule="auto"/>
      </w:pPr>
      <w:r>
        <w:continuationSeparator/>
      </w:r>
    </w:p>
  </w:footnote>
  <w:footnote w:id="1">
    <w:p w:rsidR="00BC3415" w:rsidRDefault="00C379DD">
      <w:pPr>
        <w:pStyle w:val="FootnoteText"/>
        <w:rPr>
          <w:rStyle w:val="FootnoteReference"/>
        </w:rPr>
      </w:pPr>
      <w:r>
        <w:rPr>
          <w:rStyle w:val="FootnoteReference"/>
        </w:rPr>
        <w:footnoteRef/>
      </w:r>
      <w:r>
        <w:t xml:space="preserve"> </w:t>
      </w:r>
      <w:r>
        <w:t xml:space="preserve">The </w:t>
      </w:r>
      <w:r w:rsidR="00886CC6">
        <w:t>witchcraft</w:t>
      </w:r>
      <w:r>
        <w:t xml:space="preserve"> </w:t>
      </w:r>
      <w:proofErr w:type="gramStart"/>
      <w:r>
        <w:t>Act</w:t>
      </w:r>
      <w:r w:rsidR="0090281C">
        <w:t xml:space="preserve"> </w:t>
      </w:r>
      <w:r w:rsidR="00986129">
        <w:t>,</w:t>
      </w:r>
      <w:proofErr w:type="gramEnd"/>
      <w:r w:rsidR="00986129">
        <w:t xml:space="preserve"> </w:t>
      </w:r>
      <w:r>
        <w:t>[cap.18 RE 2002]</w:t>
      </w:r>
    </w:p>
  </w:footnote>
  <w:footnote w:id="2">
    <w:p w:rsidR="00BC3415" w:rsidRDefault="00C379DD">
      <w:pPr>
        <w:pStyle w:val="FootnoteText"/>
      </w:pPr>
      <w:r>
        <w:rPr>
          <w:rStyle w:val="FootnoteReference"/>
        </w:rPr>
        <w:footnoteRef/>
      </w:r>
      <w:r>
        <w:t xml:space="preserve"> </w:t>
      </w:r>
      <w:r>
        <w:t>Bengt, A. &amp; Stuart, C. (2001). Witchcraft and magic in Europe: Biblical and Pagan Societies “University of Philadelph</w:t>
      </w:r>
      <w:r>
        <w:t>ia Press, P, Xiii Magic is Central not only in Primitive Societies but in High Cultural Societies as well.</w:t>
      </w:r>
    </w:p>
  </w:footnote>
  <w:footnote w:id="3">
    <w:p w:rsidR="00BC3415" w:rsidRDefault="00C379DD">
      <w:pPr>
        <w:pStyle w:val="FootnoteText"/>
      </w:pPr>
      <w:r>
        <w:rPr>
          <w:rStyle w:val="FootnoteReference"/>
        </w:rPr>
        <w:footnoteRef/>
      </w:r>
      <w:r>
        <w:t xml:space="preserve"> </w:t>
      </w:r>
      <w:r>
        <w:t xml:space="preserve">Mohammed, A. D. (2004), Conflict Between State and Legal Norms and Norms Underlying Popular Beliefs: Witchcraft in Africa as a Case Study, 14 DUKE </w:t>
      </w:r>
      <w:r>
        <w:t>J. COMP. &amp; INT‟L L. 351, 355</w:t>
      </w:r>
    </w:p>
  </w:footnote>
  <w:footnote w:id="4">
    <w:p w:rsidR="00BC3415" w:rsidRDefault="00C379DD">
      <w:pPr>
        <w:pStyle w:val="FootnoteText"/>
      </w:pPr>
      <w:r>
        <w:rPr>
          <w:rStyle w:val="FootnoteReference"/>
        </w:rPr>
        <w:footnoteRef/>
      </w:r>
      <w:r>
        <w:t xml:space="preserve"> </w:t>
      </w:r>
      <w:proofErr w:type="spellStart"/>
      <w:r>
        <w:t>Tebbe</w:t>
      </w:r>
      <w:proofErr w:type="spellEnd"/>
      <w:r>
        <w:t xml:space="preserve">, </w:t>
      </w:r>
      <w:proofErr w:type="gramStart"/>
      <w:r>
        <w:t>N</w:t>
      </w:r>
      <w:r w:rsidR="006F5E96">
        <w:t xml:space="preserve"> .</w:t>
      </w:r>
      <w:proofErr w:type="gramEnd"/>
      <w:r w:rsidR="006F5E96">
        <w:t xml:space="preserve"> </w:t>
      </w:r>
      <w:r>
        <w:t>(2007)</w:t>
      </w:r>
      <w:proofErr w:type="gramStart"/>
      <w:r>
        <w:t xml:space="preserve">. </w:t>
      </w:r>
      <w:r w:rsidR="0090281C">
        <w:t>”</w:t>
      </w:r>
      <w:proofErr w:type="gramEnd"/>
      <w:r w:rsidR="0090281C">
        <w:t xml:space="preserve"> Witchcraft</w:t>
      </w:r>
      <w:r>
        <w:t xml:space="preserve"> and Sacrifice, Liberal Democracy in Africa”,96 </w:t>
      </w:r>
      <w:proofErr w:type="gramStart"/>
      <w:r>
        <w:t>GEO</w:t>
      </w:r>
      <w:r w:rsidR="000B0146">
        <w:t xml:space="preserve"> ,</w:t>
      </w:r>
      <w:proofErr w:type="gramEnd"/>
      <w:r w:rsidR="000B0146">
        <w:t xml:space="preserve"> </w:t>
      </w:r>
      <w:r>
        <w:t xml:space="preserve">I.J 183,196. </w:t>
      </w:r>
    </w:p>
  </w:footnote>
  <w:footnote w:id="5">
    <w:p w:rsidR="00BC3415" w:rsidRDefault="00C379DD">
      <w:pPr>
        <w:pStyle w:val="FootnoteText"/>
      </w:pPr>
      <w:r>
        <w:rPr>
          <w:rStyle w:val="FootnoteReference"/>
        </w:rPr>
        <w:footnoteRef/>
      </w:r>
      <w:r>
        <w:t xml:space="preserve"> </w:t>
      </w:r>
      <w:r>
        <w:t>Cohan, J.A</w:t>
      </w:r>
      <w:proofErr w:type="gramStart"/>
      <w:r>
        <w:t xml:space="preserve"> </w:t>
      </w:r>
      <w:r w:rsidR="006F5E96">
        <w:t>.</w:t>
      </w:r>
      <w:r>
        <w:t>.</w:t>
      </w:r>
      <w:proofErr w:type="gramEnd"/>
      <w:r>
        <w:t xml:space="preserve">(2011) . “The problem of Witchcraft Violence in Africa”, Suffolk University Law Review, </w:t>
      </w:r>
      <w:proofErr w:type="spellStart"/>
      <w:r>
        <w:t>Vol.XLIV</w:t>
      </w:r>
      <w:proofErr w:type="spellEnd"/>
      <w:r>
        <w:t xml:space="preserve"> p. 865.</w:t>
      </w:r>
    </w:p>
  </w:footnote>
  <w:footnote w:id="6">
    <w:p w:rsidR="00BC3415" w:rsidRDefault="00C379DD">
      <w:pPr>
        <w:pStyle w:val="FootnoteText"/>
      </w:pPr>
      <w:r>
        <w:rPr>
          <w:rStyle w:val="FootnoteReference"/>
        </w:rPr>
        <w:footnoteRef/>
      </w:r>
      <w:r>
        <w:t xml:space="preserve"> </w:t>
      </w:r>
      <w:r w:rsidR="007F6785">
        <w:t>Cohan, J.A</w:t>
      </w:r>
      <w:proofErr w:type="gramStart"/>
      <w:r w:rsidR="007F6785">
        <w:t xml:space="preserve"> ..</w:t>
      </w:r>
      <w:proofErr w:type="gramEnd"/>
      <w:r w:rsidR="007F6785">
        <w:t xml:space="preserve">(2011) . “The problem of Witchcraft Violence in Africa”, Suffolk University Law Review, </w:t>
      </w:r>
      <w:proofErr w:type="spellStart"/>
      <w:r w:rsidR="007F6785">
        <w:t>Vol.XLIV</w:t>
      </w:r>
      <w:proofErr w:type="spellEnd"/>
      <w:r w:rsidR="007F6785">
        <w:t xml:space="preserve"> p. 865.</w:t>
      </w:r>
    </w:p>
  </w:footnote>
  <w:footnote w:id="7">
    <w:p w:rsidR="00BC3415" w:rsidRDefault="00C379DD">
      <w:pPr>
        <w:pStyle w:val="FootnoteText"/>
      </w:pPr>
      <w:r>
        <w:rPr>
          <w:rStyle w:val="FootnoteReference"/>
        </w:rPr>
        <w:footnoteRef/>
      </w:r>
      <w:r>
        <w:t xml:space="preserve"> </w:t>
      </w:r>
      <w:r>
        <w:t>Ibid</w:t>
      </w:r>
    </w:p>
  </w:footnote>
  <w:footnote w:id="8">
    <w:p w:rsidR="00BC3415" w:rsidRDefault="00C379DD">
      <w:pPr>
        <w:pStyle w:val="FootnoteText"/>
      </w:pPr>
      <w:r>
        <w:rPr>
          <w:rStyle w:val="FootnoteReference"/>
        </w:rPr>
        <w:footnoteRef/>
      </w:r>
      <w:r>
        <w:t xml:space="preserve"> </w:t>
      </w:r>
      <w:proofErr w:type="spellStart"/>
      <w:r>
        <w:t>Tebbe</w:t>
      </w:r>
      <w:proofErr w:type="spellEnd"/>
      <w:r>
        <w:t xml:space="preserve"> N. (2007) “Witchcraft and Sacrifice, Liberal Democracy in Africa”,96 </w:t>
      </w:r>
      <w:proofErr w:type="gramStart"/>
      <w:r>
        <w:t>GEO.I.J</w:t>
      </w:r>
      <w:proofErr w:type="gramEnd"/>
      <w:r>
        <w:t xml:space="preserve"> 183,196. </w:t>
      </w:r>
    </w:p>
  </w:footnote>
  <w:footnote w:id="9">
    <w:p w:rsidR="00BC3415" w:rsidRDefault="00C379DD">
      <w:pPr>
        <w:pStyle w:val="FootnoteText"/>
      </w:pPr>
      <w:r>
        <w:rPr>
          <w:rStyle w:val="FootnoteReference"/>
        </w:rPr>
        <w:footnoteRef/>
      </w:r>
      <w:r>
        <w:t xml:space="preserve"> </w:t>
      </w:r>
      <w:r>
        <w:t xml:space="preserve"> </w:t>
      </w:r>
      <w:r w:rsidR="00276F3A">
        <w:t>Ibid</w:t>
      </w:r>
    </w:p>
  </w:footnote>
  <w:footnote w:id="10">
    <w:p w:rsidR="00BC3415" w:rsidRDefault="00C379DD">
      <w:pPr>
        <w:pStyle w:val="FootnoteText"/>
        <w:rPr>
          <w:rStyle w:val="FootnoteReference"/>
        </w:rPr>
      </w:pPr>
      <w:r>
        <w:rPr>
          <w:rStyle w:val="FootnoteReference"/>
        </w:rPr>
        <w:footnoteRef/>
      </w:r>
      <w:r>
        <w:t xml:space="preserve"> </w:t>
      </w:r>
      <w:r>
        <w:t xml:space="preserve"> The </w:t>
      </w:r>
      <w:r w:rsidR="00886CC6">
        <w:t>witchcraft</w:t>
      </w:r>
      <w:r>
        <w:t xml:space="preserve"> </w:t>
      </w:r>
      <w:proofErr w:type="gramStart"/>
      <w:r>
        <w:t>Act,[</w:t>
      </w:r>
      <w:proofErr w:type="gramEnd"/>
      <w:r>
        <w:t>cap.18 RE 2002]</w:t>
      </w:r>
    </w:p>
  </w:footnote>
  <w:footnote w:id="11">
    <w:p w:rsidR="00BC3415" w:rsidRDefault="00C379DD">
      <w:pPr>
        <w:pStyle w:val="FootnoteText"/>
      </w:pPr>
      <w:r>
        <w:rPr>
          <w:rStyle w:val="FootnoteReference"/>
        </w:rPr>
        <w:footnoteRef/>
      </w:r>
      <w:r>
        <w:t xml:space="preserve"> </w:t>
      </w:r>
      <w:proofErr w:type="spellStart"/>
      <w:r>
        <w:t>Røkke</w:t>
      </w:r>
      <w:proofErr w:type="spellEnd"/>
      <w:r>
        <w:t>, M. (2004) „</w:t>
      </w:r>
      <w:r>
        <w:t xml:space="preserve">Witch‟ Hunt </w:t>
      </w:r>
      <w:proofErr w:type="gramStart"/>
      <w:r>
        <w:t>In</w:t>
      </w:r>
      <w:proofErr w:type="gramEnd"/>
      <w:r>
        <w:t xml:space="preserve"> Contemporary Tanzania Exploring Cultural And Structural Factors Leading To Violence Against Women In A Sukuma Village. Thesis submitted for fulfillment of requirement of Master Degree Program in Peace and Conflict Transformation of Centre fo</w:t>
      </w:r>
      <w:r>
        <w:t xml:space="preserve">r Peace Studies University of </w:t>
      </w:r>
      <w:proofErr w:type="spellStart"/>
      <w:r>
        <w:t>Tromsø</w:t>
      </w:r>
      <w:proofErr w:type="spellEnd"/>
      <w:r>
        <w:t xml:space="preserve"> Faculty of Social Sciences. P.90. </w:t>
      </w:r>
    </w:p>
  </w:footnote>
  <w:footnote w:id="12">
    <w:p w:rsidR="00BC3415" w:rsidRDefault="00C379DD">
      <w:pPr>
        <w:pStyle w:val="FootnoteText"/>
      </w:pPr>
      <w:r>
        <w:rPr>
          <w:rStyle w:val="FootnoteReference"/>
        </w:rPr>
        <w:footnoteRef/>
      </w:r>
      <w:r>
        <w:t xml:space="preserve"> </w:t>
      </w:r>
      <w:proofErr w:type="spellStart"/>
      <w:r>
        <w:t>Westlund</w:t>
      </w:r>
      <w:proofErr w:type="spellEnd"/>
      <w:r>
        <w:t>, D. (2006). African indigenous Religions and Disease Causation: From Spiritual Beings to Living Humans. Brill Leiden. Boston. P. 249</w:t>
      </w:r>
    </w:p>
  </w:footnote>
  <w:footnote w:id="13">
    <w:p w:rsidR="00BC3415" w:rsidRDefault="00C379DD">
      <w:pPr>
        <w:pStyle w:val="FootnoteText"/>
      </w:pPr>
      <w:r>
        <w:rPr>
          <w:rStyle w:val="FootnoteReference"/>
        </w:rPr>
        <w:footnoteRef/>
      </w:r>
      <w:r>
        <w:t xml:space="preserve"> </w:t>
      </w:r>
      <w:r>
        <w:t xml:space="preserve">Beck, A. (1979).” Traditional Healer in Tanzania”, A Journal of Opinion 9 (3): 2 – 5. </w:t>
      </w:r>
    </w:p>
  </w:footnote>
  <w:footnote w:id="14">
    <w:p w:rsidR="00BC3415" w:rsidRDefault="00C379DD">
      <w:pPr>
        <w:pStyle w:val="FootnoteText"/>
      </w:pPr>
      <w:r>
        <w:rPr>
          <w:rStyle w:val="FootnoteReference"/>
        </w:rPr>
        <w:footnoteRef/>
      </w:r>
      <w:r>
        <w:t xml:space="preserve"> </w:t>
      </w:r>
      <w:r>
        <w:t xml:space="preserve"> Section 3 of the Traditional Health and Alternative Medicine A </w:t>
      </w:r>
      <w:r>
        <w:t>ct,2002</w:t>
      </w:r>
      <w:r w:rsidR="002A3AC8">
        <w:t>.</w:t>
      </w:r>
      <w:bookmarkStart w:id="0" w:name="_GoBack"/>
      <w:bookmarkEnd w:id="0"/>
    </w:p>
  </w:footnote>
  <w:footnote w:id="15">
    <w:p w:rsidR="00BC3415" w:rsidRDefault="00C379DD">
      <w:pPr>
        <w:pStyle w:val="FootnoteText"/>
      </w:pPr>
      <w:r>
        <w:rPr>
          <w:rStyle w:val="FootnoteReference"/>
        </w:rPr>
        <w:footnoteRef/>
      </w:r>
      <w:r>
        <w:t xml:space="preserve"> </w:t>
      </w:r>
      <w:r>
        <w:t>Tanner, R. (2010) Ideology and the killings of albinos in Tanzania: study in cultural relativ</w:t>
      </w:r>
      <w:r>
        <w:t>ities Anthropologists pp229-236.</w:t>
      </w:r>
    </w:p>
  </w:footnote>
  <w:footnote w:id="16">
    <w:p w:rsidR="00BC3415" w:rsidRDefault="00C379DD">
      <w:pPr>
        <w:pStyle w:val="FootnoteText"/>
      </w:pPr>
      <w:r>
        <w:rPr>
          <w:rStyle w:val="FootnoteReference"/>
        </w:rPr>
        <w:footnoteRef/>
      </w:r>
      <w:r>
        <w:t xml:space="preserve"> </w:t>
      </w:r>
      <w:proofErr w:type="spellStart"/>
      <w:proofErr w:type="gramStart"/>
      <w:r>
        <w:t>Robinson,B</w:t>
      </w:r>
      <w:proofErr w:type="gramEnd"/>
      <w:r>
        <w:t>.A</w:t>
      </w:r>
      <w:proofErr w:type="spellEnd"/>
      <w:r>
        <w:t>,(2009) Witchcraft; Witchcraft in Asia and  Sub-Saharan Africa .http//www religioustolerance.org/</w:t>
      </w:r>
      <w:proofErr w:type="spellStart"/>
      <w:r>
        <w:t>wic</w:t>
      </w:r>
      <w:proofErr w:type="spellEnd"/>
      <w:r>
        <w:t xml:space="preserve"> afri.htm.</w:t>
      </w:r>
    </w:p>
  </w:footnote>
  <w:footnote w:id="17">
    <w:p w:rsidR="00BC3415" w:rsidRDefault="00C379DD">
      <w:pPr>
        <w:pStyle w:val="FootnoteText"/>
      </w:pPr>
      <w:r>
        <w:rPr>
          <w:rStyle w:val="FootnoteReference"/>
        </w:rPr>
        <w:footnoteRef/>
      </w:r>
      <w:r>
        <w:t xml:space="preserve"> </w:t>
      </w:r>
      <w:r>
        <w:t xml:space="preserve">The law of evidence </w:t>
      </w:r>
      <w:proofErr w:type="gramStart"/>
      <w:r>
        <w:t>act,[</w:t>
      </w:r>
      <w:proofErr w:type="gramEnd"/>
      <w:r>
        <w:t>cap.6 RE 2019]</w:t>
      </w:r>
    </w:p>
  </w:footnote>
  <w:footnote w:id="18">
    <w:p w:rsidR="00BC3415" w:rsidRDefault="00C379DD">
      <w:pPr>
        <w:pStyle w:val="FootnoteText"/>
      </w:pPr>
      <w:r>
        <w:rPr>
          <w:rStyle w:val="FootnoteReference"/>
        </w:rPr>
        <w:footnoteRef/>
      </w:r>
      <w:r>
        <w:t xml:space="preserve"> </w:t>
      </w:r>
      <w:r>
        <w:t xml:space="preserve">The penal </w:t>
      </w:r>
      <w:proofErr w:type="gramStart"/>
      <w:r>
        <w:t>code</w:t>
      </w:r>
      <w:r w:rsidR="0094306E">
        <w:t xml:space="preserve"> </w:t>
      </w:r>
      <w:r>
        <w:t>,</w:t>
      </w:r>
      <w:proofErr w:type="gramEnd"/>
      <w:r>
        <w:t>[ cap 16 RE 2019]</w:t>
      </w:r>
    </w:p>
  </w:footnote>
  <w:footnote w:id="19">
    <w:p w:rsidR="00BC3415" w:rsidRDefault="00C379DD">
      <w:pPr>
        <w:pStyle w:val="FootnoteText"/>
      </w:pPr>
      <w:r>
        <w:rPr>
          <w:rStyle w:val="FootnoteReference"/>
        </w:rPr>
        <w:footnoteRef/>
      </w:r>
      <w:r>
        <w:t xml:space="preserve"> </w:t>
      </w:r>
      <w:r w:rsidR="00DF03F0">
        <w:t xml:space="preserve">The law of evidence </w:t>
      </w:r>
      <w:proofErr w:type="gramStart"/>
      <w:r w:rsidR="00DF03F0">
        <w:t>act</w:t>
      </w:r>
      <w:r w:rsidR="0094306E">
        <w:t xml:space="preserve"> </w:t>
      </w:r>
      <w:r w:rsidR="00DF03F0">
        <w:t>,</w:t>
      </w:r>
      <w:proofErr w:type="gramEnd"/>
      <w:r w:rsidR="00DF03F0">
        <w:t>[cap.16 RE2019]</w:t>
      </w:r>
    </w:p>
  </w:footnote>
  <w:footnote w:id="20">
    <w:p w:rsidR="00BC3415" w:rsidRDefault="00C379DD">
      <w:pPr>
        <w:pStyle w:val="FootnoteText"/>
      </w:pPr>
      <w:r>
        <w:rPr>
          <w:rStyle w:val="FootnoteReference"/>
        </w:rPr>
        <w:footnoteRef/>
      </w:r>
      <w:r>
        <w:t xml:space="preserve"> </w:t>
      </w:r>
      <w:r>
        <w:t>Yourdictionary.c</w:t>
      </w:r>
      <w:r>
        <w:t>om, “Definition of Burden of Proof,” accessed may 26, 2022, http://www.yourdictionary.com/burden-of-proof.</w:t>
      </w:r>
    </w:p>
  </w:footnote>
  <w:footnote w:id="21">
    <w:p w:rsidR="00BC3415" w:rsidRDefault="00C379DD">
      <w:pPr>
        <w:pStyle w:val="FootnoteText"/>
      </w:pPr>
      <w:r>
        <w:rPr>
          <w:rStyle w:val="FootnoteReference"/>
        </w:rPr>
        <w:footnoteRef/>
      </w:r>
      <w:r>
        <w:t xml:space="preserve"> </w:t>
      </w:r>
      <w:r>
        <w:t>Findlaw.com, “The Insanity Defense among the States,” findlaw.com website, accessed May 26, 2022, http://criminal.findlaw.com/crimes/more-criminal-</w:t>
      </w:r>
      <w:r>
        <w:t>topics/insanity-defense/the-insanity-defense-among-the-states.html.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3415"/>
    <w:rsid w:val="000B0146"/>
    <w:rsid w:val="001724E8"/>
    <w:rsid w:val="00234319"/>
    <w:rsid w:val="00276F3A"/>
    <w:rsid w:val="002A3AC8"/>
    <w:rsid w:val="00492535"/>
    <w:rsid w:val="006F5E96"/>
    <w:rsid w:val="007625AB"/>
    <w:rsid w:val="007F6785"/>
    <w:rsid w:val="00870360"/>
    <w:rsid w:val="00886CC6"/>
    <w:rsid w:val="008A43F5"/>
    <w:rsid w:val="00901EA2"/>
    <w:rsid w:val="0090281C"/>
    <w:rsid w:val="0094306E"/>
    <w:rsid w:val="00984D23"/>
    <w:rsid w:val="00986129"/>
    <w:rsid w:val="00B85BE0"/>
    <w:rsid w:val="00BC3415"/>
    <w:rsid w:val="00C379DD"/>
    <w:rsid w:val="00C934F5"/>
    <w:rsid w:val="00DF03F0"/>
    <w:rsid w:val="00E60FF2"/>
    <w:rsid w:val="00F55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A14DB"/>
  <w15:docId w15:val="{FAB09782-9927-4299-A4D3-3474D5F0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TZ" w:eastAsia="en-T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Text Char"/>
    <w:link w:val="FootnoteText"/>
    <w:uiPriority w:val="99"/>
    <w:rPr>
      <w:vertAlign w:val="superscript"/>
    </w:rPr>
  </w:style>
  <w:style w:type="paragraph" w:styleId="FootnoteText">
    <w:name w:val="footnote text"/>
    <w:basedOn w:val="Normal"/>
    <w:next w:val="Normal"/>
    <w:link w:val="FootnoteReference"/>
    <w:uiPriority w:val="99"/>
    <w:pPr>
      <w:snapToGrid w:val="0"/>
    </w:pPr>
    <w:rPr>
      <w:sz w:val="18"/>
      <w:szCs w:val="18"/>
    </w:rPr>
  </w:style>
  <w:style w:type="paragraph" w:styleId="Header">
    <w:name w:val="header"/>
    <w:basedOn w:val="Normal"/>
    <w:link w:val="HeaderChar"/>
    <w:uiPriority w:val="99"/>
    <w:unhideWhenUsed/>
    <w:rsid w:val="007F6785"/>
    <w:pPr>
      <w:tabs>
        <w:tab w:val="center" w:pos="4513"/>
        <w:tab w:val="right" w:pos="9026"/>
      </w:tabs>
    </w:pPr>
  </w:style>
  <w:style w:type="character" w:customStyle="1" w:styleId="HeaderChar">
    <w:name w:val="Header Char"/>
    <w:link w:val="Header"/>
    <w:uiPriority w:val="99"/>
    <w:rsid w:val="007F6785"/>
    <w:rPr>
      <w:sz w:val="22"/>
      <w:szCs w:val="22"/>
    </w:rPr>
  </w:style>
  <w:style w:type="paragraph" w:styleId="Footer">
    <w:name w:val="footer"/>
    <w:basedOn w:val="Normal"/>
    <w:link w:val="FooterChar"/>
    <w:uiPriority w:val="99"/>
    <w:unhideWhenUsed/>
    <w:rsid w:val="007F6785"/>
    <w:pPr>
      <w:tabs>
        <w:tab w:val="center" w:pos="4513"/>
        <w:tab w:val="right" w:pos="9026"/>
      </w:tabs>
    </w:pPr>
  </w:style>
  <w:style w:type="character" w:customStyle="1" w:styleId="FooterChar">
    <w:name w:val="Footer Char"/>
    <w:link w:val="Footer"/>
    <w:uiPriority w:val="99"/>
    <w:rsid w:val="007F678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X657</dc:creator>
  <cp:lastModifiedBy>Hussein Sadick</cp:lastModifiedBy>
  <cp:revision>21</cp:revision>
  <dcterms:created xsi:type="dcterms:W3CDTF">2022-05-29T20:49:00Z</dcterms:created>
  <dcterms:modified xsi:type="dcterms:W3CDTF">2022-05-31T21:52:00Z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f2b119d77db344a6af50845375a2fedb</vt:lpwstr>
  </property>
</Properties>
</file>