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Zadání výzkumu: fiktivní ranní nápoj</w:t>
      </w:r>
    </w:p>
    <w:p>
      <w:pPr>
        <w:pStyle w:val="Normal"/>
        <w:bidi w:val="0"/>
        <w:jc w:val="start"/>
        <w:rPr/>
      </w:pPr>
      <w:r>
        <w:rPr/>
        <w:t>Cílová skupina: lidé 18–65 let, kteří pijí kávu alespoň třikrát týdně.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Plain ASCII paragraph for the compressed path.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Značka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Podíl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Ranní Ň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12 %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Zdroj: </w:t>
      </w:r>
      <w:hyperlink r:id="rId2">
        <w:r>
          <w:rPr>
            <w:rStyle w:val="Hyperlink"/>
          </w:rPr>
          <w:t>fiktivní studie</w:t>
        </w:r>
      </w:hyperlink>
      <w:r>
        <w:rPr/>
        <w:t xml:space="preserve"> z roku 2026.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zdroj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