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sz w:val="22"/>
        </w:rPr>
        <w:t>«13» октября 2025 г.</w:t>
      </w:r>
    </w:p>
    <w:p>
      <w:pPr>
        <w:spacing w:before="120" w:after="120"/>
      </w:pPr>
      <w:r>
        <w:rPr>
          <w:sz w:val="22"/>
        </w:rPr>
        <w:t>ФЕДЕРАЦИЯ ТЕННИСА РОССИИ</w:t>
      </w:r>
    </w:p>
    <w:p>
      <w:pPr>
        <w:spacing w:before="120" w:after="120"/>
      </w:pPr>
      <w:r>
        <w:rPr>
          <w:sz w:val="22"/>
        </w:rPr>
        <w:t>Общероссийская общественная организация «Федерация тенниса России» 119991, г. Москва, Лужнецкая наб., д. 8, каб. 376 тел .: 8 (495) 725-45-22, e-mail: avor@russport.ru</w:t>
      </w:r>
    </w:p>
    <w:p>
      <w:pPr>
        <w:spacing w:before="120" w:after="120"/>
      </w:pPr>
      <w:r>
        <w:rPr>
          <w:sz w:val="22"/>
        </w:rPr>
        <w:t>Для предъявления по месту требования</w:t>
      </w:r>
    </w:p>
    <w:p>
      <w:pPr>
        <w:spacing w:before="120" w:after="120"/>
      </w:pPr>
      <w:r>
        <w:rPr>
          <w:sz w:val="22"/>
        </w:rPr>
        <w:t>Меня зовут Алия Тарпищева, я являюсь руководителем научной группы Федерации тенниса России. На протяжении более</w:t>
      </w:r>
    </w:p>
    <w:p>
      <w:pPr>
        <w:spacing w:before="120" w:after="120"/>
      </w:pPr>
      <w:r>
        <w:rPr>
          <w:sz w:val="22"/>
        </w:rPr>
        <w:t>8 лет я занимаюсь научно-методическим обеспечением подготовки спортсменов высокого класса, включая национальные сборные России. Моя деятельность охватывает исследования в области спортивной физиологии, биомеханики движений, восстановления после нагрузок и долгосрочного планирования тренировочных циклов. Я опубликовала ряд научных трудов, выступала на профильных конференциях по спортивной науке и входила в экспертные комиссии, отвечающие за внедрение инновационных методик в подготовку теннисистов и представителей других видов спорта.</w:t>
      </w:r>
    </w:p>
    <w:p>
      <w:pPr>
        <w:spacing w:before="120" w:after="120"/>
      </w:pPr>
      <w:r>
        <w:rPr>
          <w:sz w:val="22"/>
        </w:rPr>
        <w:t>В этой роли я имела возможность наблюдать и анализировать работу Артема Строканя, и могу с уверенностью отметить, что его вклад является оригинальным, научно обоснованным и практически значимым. Его разработки оказали влияние не только на подготовку отдельных спортсменов, но и на систему тренировочного процесса в отечественном теннисе в целом.</w:t>
      </w:r>
    </w:p>
    <w:p>
      <w:pPr>
        <w:spacing w:before="120" w:after="120"/>
      </w:pPr>
      <w:r>
        <w:rPr>
          <w:sz w:val="22"/>
        </w:rPr>
        <w:t>Артем Строкань разработал теннис-специфическую систему физической подготовки, основанную на принципах биомеханики и спортивной физиологии. В отличие от стандартных программ общей физической подготовки, его подход:</w:t>
      </w:r>
    </w:p>
    <w:p>
      <w:pPr>
        <w:spacing w:before="120" w:after="120"/>
      </w:pPr>
      <w:r>
        <w:rPr>
          <w:sz w:val="22"/>
        </w:rPr>
        <w:t>- интегрирует физические упражнения непосредственно в игровой процесс, что обеспечивает перенос развиваемых качеств в соревновательную практику;</w:t>
      </w:r>
    </w:p>
    <w:p>
      <w:pPr>
        <w:spacing w:before="120" w:after="120"/>
      </w:pPr>
      <w:r>
        <w:rPr>
          <w:sz w:val="22"/>
        </w:rPr>
        <w:t>- моделирует реальные игровые отрезки - 20-40 секунд высокой интенсивности с короткими паузами восстановления;</w:t>
      </w:r>
    </w:p>
    <w:p>
      <w:pPr>
        <w:spacing w:before="120" w:after="120"/>
      </w:pPr>
      <w:r>
        <w:rPr>
          <w:sz w:val="22"/>
        </w:rPr>
        <w:t>- включает плиометрические упражнения, специально адаптированные под теннисные движения; - использует протоколы восстановления с мониторингом пульса и вариабельности сердечного ритма, что позволяет точно дозировать нагрузки и поддерживать оптимальное состояние спортсмена в течение турнирных серий.</w:t>
      </w:r>
    </w:p>
    <w:p>
      <w:pPr>
        <w:spacing w:before="120" w:after="120"/>
      </w:pPr>
      <w:r>
        <w:rPr>
          <w:sz w:val="22"/>
        </w:rPr>
        <w:t>Оригинальность методики Артема заключается в том, что он впервые системно объединил физическую подготовку с техническими и тактическими элементами игры, создав комплексную модель подготовки теннисиста высокого уровня.</w:t>
      </w:r>
    </w:p>
    <w:p>
      <w:pPr>
        <w:spacing w:before="120" w:after="120"/>
      </w:pPr>
      <w:r>
        <w:rPr>
          <w:sz w:val="22"/>
        </w:rPr>
        <w:t>Эффективность подхода подтверждается конкретными результатами спортсменов, с которыми Артем работал:</w:t>
      </w:r>
    </w:p>
    <w:p>
      <w:pPr>
        <w:spacing w:before="120" w:after="120"/>
      </w:pPr>
      <w:r>
        <w:rPr>
          <w:sz w:val="22"/>
        </w:rPr>
        <w:t>- Наталья Вихлянцева достигла рейтинга WTA №54 и выступала на всех четырёх турнирах «Большого шлема»;</w:t>
      </w:r>
    </w:p>
    <w:p>
      <w:pPr>
        <w:spacing w:before="120" w:after="120"/>
      </w:pPr>
      <w:r>
        <w:rPr>
          <w:sz w:val="22"/>
        </w:rPr>
        <w:t>- Екатерина Макарова (1996 г.р.) продемонстрировала высокий уровень физической готовности,</w:t>
      </w:r>
    </w:p>
    <w:p>
      <w:pPr>
        <w:spacing w:before="120" w:after="120"/>
      </w:pPr>
      <w:r>
        <w:rPr>
          <w:sz w:val="22"/>
        </w:rPr>
        <w:t>позволивший ей стабильно выступать на крупнейших международных соревнованиях; - Иван Гахов и Евгений Тюрнев одержали победы на турнирах ITF и ATP Challenger; - Александр Журбин при подготовке с Артемом существенно улучшил физическую форму, движение и выносливость, поднялся с ~#646 до #331 АТР и вышел на уровень турниров ATP Tour.</w:t>
      </w:r>
    </w:p>
    <w:p>
      <w:pPr>
        <w:spacing w:before="120" w:after="120"/>
      </w:pPr>
      <w:r>
        <w:rPr>
          <w:sz w:val="22"/>
        </w:rPr>
        <w:t>Эти достижения стали прямым следствием внедрения его системного подхода к физической подготовке и восстановлению.</w:t>
      </w:r>
    </w:p>
    <w:p>
      <w:pPr>
        <w:spacing w:before="120" w:after="120"/>
      </w:pPr>
      <w:r>
        <w:rPr>
          <w:sz w:val="22"/>
        </w:rPr>
        <w:t>Методика Артема получила признание и внутри Федерации.</w:t>
      </w:r>
    </w:p>
    <w:p>
      <w:pPr>
        <w:spacing w:before="120" w:after="120"/>
      </w:pPr>
      <w:r>
        <w:rPr>
          <w:sz w:val="22"/>
        </w:rPr>
        <w:t>Элементы его системы внедрены в работу юниорских сборных России под руководством тренеров Натальи Альбицкой и Юрия Ващенко. Подход обсуждался на методических семинарах Федерации и используется в качестве примера эффективной интеграции научных принципов в практику подготовки спортсменов. Наша научная группа проводила экспертную оценку разработанной методики и подтвердила её эффективность и превосходство по сравнению с традиционными схемами подготовки.</w:t>
      </w:r>
    </w:p>
    <w:p>
      <w:pPr>
        <w:spacing w:before="120" w:after="120"/>
      </w:pPr>
      <w:r>
        <w:rPr>
          <w:sz w:val="22"/>
        </w:rPr>
        <w:t>Я убеждена, что вклад Артема Строконя в развитие отечественной спортивной науки и тенниса является оригинальным, значительным и признанным в профессиональном сообществе. Его методика помогла ведущим российским спортсменам достигать международных результатов, задала новые стандарты подготовки в Федерации и оказала влияние на формирование следующего поколения игроков.</w:t>
      </w:r>
    </w:p>
    <w:p>
      <w:pPr>
        <w:spacing w:before="120" w:after="120"/>
      </w:pPr>
      <w:r>
        <w:rPr>
          <w:sz w:val="22"/>
        </w:rPr>
        <w:t>Я полностью поддерживаю признание Артема Строконя как специалиста с исключительными способностями (Extraordinary Ability, категория ЕВ-1). Его достижения имеют долгосрочное и международное значение.</w:t>
      </w:r>
    </w:p>
    <w:p>
      <w:pPr>
        <w:spacing w:before="120" w:after="120"/>
      </w:pPr>
      <w:r>
        <w:rPr>
          <w:sz w:val="22"/>
        </w:rPr>
        <w:t>С уважением, Алия Тарпищева Руководитель научной группы Федерация тенниса России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