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GenAI-Powered IoT Vulnerability &amp; Firmware Forensics Platform</w:t>
      </w:r>
    </w:p>
    <w:p>
      <w:pPr>
        <w:spacing w:after="240"/>
      </w:pPr>
      <w:r>
        <w:t xml:space="preserve">A Reproducible Static-Analysis Approach to Firmware Security Assessment, with GenAI-Assisted Reporting</w:t>
      </w:r>
      <w:r>
        <w:rPr>
          <w:i/>
          <w:iCs/>
          <w:sz w:val="24"/>
          <w:szCs w:val="24"/>
        </w:rPr>
        <w:t xml:space="preserve">A Reproducible Static-Analysis Approach to Firmware Security Assessment, with GenAI-Assisted Reporting</w:t>
      </w:r>
    </w:p>
    <w:p>
      <w:pPr>
        <w:spacing w:after="160"/>
      </w:pPr>
      <w:r>
        <w:rPr>
          <w:sz w:val="22"/>
          <w:szCs w:val="22"/>
        </w:rPr>
        <w:t xml:space="preserve">Submitted for Pragyan AI, IIT Guwahati</w:t>
      </w:r>
    </w:p>
    <w:p>
      <w:pPr>
        <w:spacing w:after="160"/>
      </w:pPr>
      <w:r>
        <w:rPr>
          <w:sz w:val="22"/>
          <w:szCs w:val="22"/>
        </w:rPr>
        <w:t xml:space="preserve">Author: Richa | AI &amp; Computational Thinking Educator | Independent Research Submission</w:t>
      </w:r>
    </w:p>
    <w:p>
      <w:pPr>
        <w:spacing w:after="160"/>
      </w:pPr>
      <w:r>
        <w:t xml:space="preserve"> </w:t>
      </w:r>
    </w:p>
    <w:p>
      <w:pPr>
        <w:pStyle w:val="Heading2"/>
        <w:spacing w:after="120" w:before="240"/>
      </w:pPr>
      <w:r>
        <w:t xml:space="preserve">Abstract</w:t>
      </w:r>
    </w:p>
    <w:p>
      <w:pPr>
        <w:spacing w:after="160"/>
      </w:pPr>
      <w:r>
        <w:t xml:space="preserve">Internet-of-Things devices ship firmware that is rarely re-examined once a product leaves the factory, yet that firmware carries the operating system, network stack, and often hardcoded operational secrets for the device's entire service life. This paper presents a static firmware forensics platform built around three deterministic detection techniques -- entropy mapping, string-based secret detection, and component/version cross-referencing against known vulnerability classes -- combined with a narrow, clearly-bounded generative AI layer whose only role is to narrate findings that were already established by the deterministic engine, never to originate them. The platform is implemented end-to-end in Python, verified with an automated pytest suite, and made demonstrable without any internet dependency through an offline reporting fallback. Beyond the technical contribution, this paper argues for a specific research ethic that is unusually self-referential for a forensics project: the same integrity checks that firmware forensics applies to a binary -- verifying provenance, flagging unexplained similarity, refusing to trust an artifact just because it looks polished -- are exactly the checks a reviewer should apply to a student research submission. The paper closes with an explicit statement on academic originality aimed at student researchers working in this space.</w:t>
      </w:r>
    </w:p>
    <w:p>
      <w:pPr>
        <w:pStyle w:val="Heading2"/>
        <w:spacing w:after="120" w:before="240"/>
      </w:pPr>
      <w:r>
        <w:t xml:space="preserve">Keywords</w:t>
      </w:r>
    </w:p>
    <w:p>
      <w:pPr>
        <w:spacing w:after="160"/>
      </w:pPr>
      <w:r>
        <w:t xml:space="preserve">IoT security, firmware forensics, static analysis, entropy analysis, vulnerability signature matching, generative AI, human-in-the-loop reporting, research integrity</w:t>
      </w:r>
    </w:p>
    <w:p>
      <w:r>
        <w:br w:type="page"/>
      </w:r>
    </w:p>
    <w:p>
      <w:pPr>
        <w:pStyle w:val="Heading1"/>
        <w:spacing w:after="160" w:before="320"/>
      </w:pPr>
      <w:r>
        <w:t xml:space="preserve">1. Introduction</w:t>
      </w:r>
    </w:p>
    <w:p>
      <w:pPr>
        <w:spacing w:after="160"/>
      </w:pPr>
      <w:r>
        <w:t xml:space="preserve">Most public conversation about IoT security concentrates on the network layer -- weak Wi-Fi credentials, unencrypted MQTT traffic, exposed cloud APIs. Firmware, the layer underneath all of that, gets far less scrutiny, for a fairly mundane reason: examining it requires either physical access to extract a flash chip's contents or a vendor-provided update image, followed by static analysis tooling that most security curricula do not teach hands-on. This creates a real gap. A device can have a perfectly encrypted network connection and still ship a firmware image containing a hardcoded root password, an unpatched decade-old SSH server, or a bootloader with no signature verification at all -- and none of that would ever show up in a network traffic capture.</w:t>
      </w:r>
    </w:p>
    <w:p>
      <w:pPr>
        <w:spacing w:after="160"/>
      </w:pPr>
      <w:r>
        <w:t xml:space="preserve">This project asks a narrower, more answerable question than 'how do we secure IoT': given a firmware binary, what can a lightweight, reproducible, entirely offline-capable tool tell a student researcher about that image's security posture, without requiring proprietary tools, a hardware lab, or an active internet connection? The answer developed here is a three-stage deterministic pipeline -- entropy mapping, secret-pattern string extraction, and known-component cross-referencing -- with an optional, strictly bounded generative AI layer added only at the reporting stage.</w:t>
      </w:r>
    </w:p>
    <w:p>
      <w:pPr>
        <w:spacing w:after="160"/>
      </w:pPr>
      <w:r>
        <w:t xml:space="preserve">The platform is deliberately scoped as a forensics and detection tool, not an exploitation tool. It answers 'what is present in this firmware and does it match a known risk pattern', never 'how do I use this finding to attack a device'. That distinction runs through every design decision in this paper.</w:t>
      </w:r>
    </w:p>
    <w:p>
      <w:pPr>
        <w:pStyle w:val="Heading1"/>
        <w:spacing w:after="160" w:before="320"/>
      </w:pPr>
      <w:r>
        <w:t xml:space="preserve">2. Understanding Firmware Forensics</w:t>
      </w:r>
    </w:p>
    <w:p>
      <w:pPr>
        <w:pStyle w:val="Heading2"/>
        <w:spacing w:after="120" w:before="240"/>
      </w:pPr>
      <w:r>
        <w:t xml:space="preserve">2.1 What Makes Firmware Different From Software Forensics</w:t>
      </w:r>
    </w:p>
    <w:p>
      <w:pPr>
        <w:spacing w:after="160"/>
      </w:pPr>
      <w:r>
        <w:t xml:space="preserve">Firmware sits below the operating system a typical forensic examiner is trained on. It usually contains a bootloader, a compressed root filesystem, kernel image, and vendor configuration, all packed into a single binary blob with minimal metadata. Unlike a laptop hard drive, there is no standard file system table pointing an investigator to where things live -- the very first task in firmware forensics is figuring out where one section ends and another begins, before any content analysis is possible at all.</w:t>
      </w:r>
    </w:p>
    <w:p>
      <w:pPr>
        <w:pStyle w:val="Heading2"/>
        <w:spacing w:after="120" w:before="240"/>
      </w:pPr>
      <w:r>
        <w:t xml:space="preserve">2.2 Acquisition (Briefly, and Only Conceptually)</w:t>
      </w:r>
    </w:p>
    <w:p>
      <w:pPr>
        <w:spacing w:after="160"/>
      </w:pPr>
      <w:r>
        <w:t xml:space="preserve">Firmware images generally reach an investigator in one of three ways: a vendor's own downloadable update file, a dump taken directly off a device's SPI/NAND flash chip with a hardware programmer, or an over-the-air update captured in transit. Acquisition method matters for chain-of-custody in a real investigation, but this paper deliberately does not detail extraction procedures for physical chip dumping, since that content has little value here and drifts toward hardware-hacking instructions outside this project's scope. The platform in this paper begins its work after a binary image already exists on disk, regardless of how it was obtained.</w:t>
      </w:r>
    </w:p>
    <w:p>
      <w:pPr>
        <w:pStyle w:val="Heading2"/>
        <w:spacing w:after="120" w:before="240"/>
      </w:pPr>
      <w:r>
        <w:t xml:space="preserve">2.3 Static Analysis Techniques Used in This Project</w:t>
      </w:r>
    </w:p>
    <w:p>
      <w:pPr>
        <w:pStyle w:val="ListParagraph"/>
        <w:numPr>
          <w:ilvl w:val="0"/>
          <w:numId w:val="2"/>
        </w:numPr>
        <w:spacing w:after="80"/>
      </w:pPr>
      <w:r>
        <w:t xml:space="preserve">Entropy mapping -- measuring how 'random' each section of the binary looks, to flag likely compressed or encrypted regions worth closer inspection.</w:t>
      </w:r>
    </w:p>
    <w:p>
      <w:pPr>
        <w:pStyle w:val="ListParagraph"/>
        <w:numPr>
          <w:ilvl w:val="0"/>
          <w:numId w:val="2"/>
        </w:numPr>
        <w:spacing w:after="80"/>
      </w:pPr>
      <w:r>
        <w:t xml:space="preserve">String extraction -- pulling every printable text fragment out of the binary, the way a human would skim a book for names that stand out.</w:t>
      </w:r>
    </w:p>
    <w:p>
      <w:pPr>
        <w:pStyle w:val="ListParagraph"/>
        <w:numPr>
          <w:ilvl w:val="0"/>
          <w:numId w:val="2"/>
        </w:numPr>
        <w:spacing w:after="80"/>
      </w:pPr>
      <w:r>
        <w:t xml:space="preserve">Pattern-based secret detection -- flagging strings that resemble credentials, API keys, or private key material left in cleartext by mistake.</w:t>
      </w:r>
    </w:p>
    <w:p>
      <w:pPr>
        <w:pStyle w:val="ListParagraph"/>
        <w:numPr>
          <w:ilvl w:val="0"/>
          <w:numId w:val="2"/>
        </w:numPr>
        <w:spacing w:after="80"/>
      </w:pPr>
      <w:r>
        <w:t xml:space="preserve">Component/version fingerprinting -- recognizing banner strings from common embedded components (BusyBox, Dropbear, OpenSSL, U-Boot) and mapping them to historically known vulnerability classes.</w:t>
      </w:r>
    </w:p>
    <w:p>
      <w:pPr>
        <w:pStyle w:val="Heading1"/>
        <w:spacing w:after="160" w:before="320"/>
      </w:pPr>
      <w:r>
        <w:t xml:space="preserve">3. The Firmware Vulnerability Landscape</w:t>
      </w:r>
    </w:p>
    <w:p>
      <w:pPr>
        <w:spacing w:after="160"/>
      </w:pPr>
      <w:r>
        <w:t xml:space="preserve">Firmware-layer weaknesses recur across the IoT industry in a fairly small number of shapes. Framing them as categories -- rather than a long unstructured list of CVE numbers -- is more useful for a student researcher trying to build intuition, so this paper organizes them as follows.</w:t>
      </w:r>
    </w:p>
    <w:p>
      <w:pPr>
        <w:pStyle w:val="Heading2"/>
        <w:spacing w:after="120" w:before="240"/>
      </w:pPr>
      <w:r>
        <w:t xml:space="preserve">3.1 Credential Exposure</w:t>
      </w:r>
    </w:p>
    <w:p>
      <w:pPr>
        <w:spacing w:after="160"/>
      </w:pPr>
      <w:r>
        <w:t xml:space="preserve">Developers routinely leave default or hardcoded credentials inside firmware images during development and forget to strip them before a production build ships. This single category of weakness was responsible for one of the most cited IoT security incidents in recent memory -- the Mirai botnet -- which spread almost entirely by trying a short list of factory-default username/password pairs against exposed Telnet services. Nothing sophisticated was required; the credentials were simply present.</w:t>
      </w:r>
    </w:p>
    <w:p>
      <w:pPr>
        <w:pStyle w:val="Heading2"/>
        <w:spacing w:after="120" w:before="240"/>
      </w:pPr>
      <w:r>
        <w:t xml:space="preserve">3.2 Legacy Component Reuse</w:t>
      </w:r>
    </w:p>
    <w:p>
      <w:pPr>
        <w:spacing w:after="160"/>
      </w:pPr>
      <w:r>
        <w:t xml:space="preserve">Embedded vendors frequently build firmware once and rarely revisit the underlying open-source components unless forced to by a hardware refresh. This is how firmware shipping in a given year can still contain an OpenSSL build with a Heartbleed-class weakness from years earlier, or a BusyBox release with known memory-safety issues in its network utilities -- not because anyone chose to ship something outdated, but because nobody re-cut the build.</w:t>
      </w:r>
    </w:p>
    <w:p>
      <w:pPr>
        <w:pStyle w:val="Heading2"/>
        <w:spacing w:after="120" w:before="240"/>
      </w:pPr>
      <w:r>
        <w:t xml:space="preserve">3.3 Insecure Boot Chain</w:t>
      </w:r>
    </w:p>
    <w:p>
      <w:pPr>
        <w:spacing w:after="160"/>
      </w:pPr>
      <w:r>
        <w:t xml:space="preserve">A device's boot chain is supposed to verify, at each stage, that the next stage it is about to execute is signed by the vendor and unmodified. Many low-cost IoT devices skip this entirely, or leave a bootloader interactive console reachable over UART or JTAG with no authentication -- meaning brief physical access is enough to load arbitrary firmware.</w:t>
      </w:r>
    </w:p>
    <w:p>
      <w:pPr>
        <w:pStyle w:val="Heading2"/>
        <w:spacing w:after="120" w:before="240"/>
      </w:pPr>
      <w:r>
        <w:t xml:space="preserve">3.4 Debug Interface and Service Exposure</w:t>
      </w:r>
    </w:p>
    <w:p>
      <w:pPr>
        <w:spacing w:after="160"/>
      </w:pPr>
      <w:r>
        <w:t xml:space="preserve">Development conveniences -- a Telnet daemon, a debug shell, a hardcoded serial console login -- are meant to be removed before shipping, but firmware forensics repeatedly finds that they are simply disabled rather than removed, or left in a rarely-audited secondary firmware partition.</w:t>
      </w:r>
    </w:p>
    <w:p>
      <w:pPr>
        <w:pStyle w:val="Heading2"/>
        <w:spacing w:after="120" w:before="240"/>
      </w:pPr>
      <w:r>
        <w:t xml:space="preserve">3.5 Insecure or Absent Update Mechanisms</w:t>
      </w:r>
    </w:p>
    <w:p>
      <w:pPr>
        <w:spacing w:after="160"/>
      </w:pPr>
      <w:r>
        <w:t xml:space="preserve">A device that cannot verify the authenticity of an update package before installing it can, in principle, be made to install anything. This category is less about a single flaw and more about an entire missing control -- one this paper's platform does not attempt to test directly, since it requires the live update protocol rather than a static image, but the paper flags it here as necessary context.</w:t>
      </w:r>
    </w:p>
    <w:p>
      <w:pPr>
        <w:pStyle w:val="Heading1"/>
        <w:spacing w:after="160" w:before="320"/>
      </w:pPr>
      <w:r>
        <w:t xml:space="preserve">4. Why GenAI, and Where the Boundary Is Drawn</w:t>
      </w:r>
    </w:p>
    <w:p>
      <w:pPr>
        <w:spacing w:after="160"/>
      </w:pPr>
      <w:r>
        <w:t xml:space="preserve">It would be easy for a project titled 'GenAI-Powered' to lean on a language model to do the actual security analysis -- asking it to read a firmware dump and 'find the vulnerabilities'. This paper deliberately does not do that, for a reason specific to forensic work: a finding that cannot be traced back to a deterministic, re-runnable calculation is not evidence, it is an opinion, and a forensic report that quietly blurs that line is worse than a report with no AI involvement at all.</w:t>
      </w:r>
    </w:p>
    <w:p>
      <w:pPr>
        <w:spacing w:after="160"/>
      </w:pPr>
      <w:r>
        <w:t xml:space="preserve">The role given to GenAI in this platform is narrow and explicit: after the entropy scanner, string extractor, and vulnerability cross-referencer have already produced a structured JSON result, a language model is given that JSON and asked only to write readable prose describing it -- with an explicit instruction never to introduce a finding, CVE, or number not already present in the data. Every generated report is shipped alongside its underlying structured data specifically so a human reviewer can check the narration against the ground truth line by line. This design also means the platform is fully functional with zero AI involvement -- an offline template-based summary generator produces a structurally identical report when no API key is configured, which matters enormously for a project meant to be demonstrated live in a viva without depending on network access or API quota.</w:t>
      </w:r>
    </w:p>
    <w:p>
      <w:pPr>
        <w:pStyle w:val="Heading1"/>
        <w:spacing w:after="160" w:before="320"/>
      </w:pPr>
      <w:r>
        <w:t xml:space="preserve">5. Proposed System Architecture</w:t>
      </w:r>
    </w:p>
    <w:p>
      <w:pPr>
        <w:spacing w:after="160"/>
      </w:pPr>
      <w:r>
        <w:t xml:space="preserve">The platform is organized as four sequential stages: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900"/>
      </w:tblGrid>
      <w:tr>
        <w:tc>
          <w:tcPr>
            <w:tcW w:type="dxa" w:w="900"/>
            <w:shd w:fill="D9E2F3" w:val="clear"/>
          </w:tcPr>
          <w:p>
            <w:r>
              <w:rPr>
                <w:b/>
                <w:bCs/>
              </w:rPr>
              <w:t xml:space="preserve">Stage</w:t>
            </w:r>
          </w:p>
        </w:tc>
        <w:tc>
          <w:tcPr>
            <w:tcW w:type="dxa" w:w="2700"/>
            <w:shd w:fill="D9E2F3" w:val="clear"/>
          </w:tcPr>
          <w:p>
            <w:r>
              <w:rPr>
                <w:b/>
                <w:bCs/>
              </w:rPr>
              <w:t xml:space="preserve">Module</w:t>
            </w:r>
          </w:p>
        </w:tc>
        <w:tc>
          <w:tcPr>
            <w:tcW w:type="dxa" w:w="5900"/>
            <w:shd w:fill="D9E2F3" w:val="clear"/>
          </w:tcPr>
          <w:p>
            <w:r>
              <w:rPr>
                <w:b/>
                <w:bCs/>
              </w:rPr>
              <w:t xml:space="preserve">Responsibility</w:t>
            </w:r>
          </w:p>
        </w:tc>
      </w:tr>
      <w:tr>
        <w:tc>
          <w:tcPr>
            <w:tcW w:type="dxa" w:w="900"/>
          </w:tcPr>
          <w:p>
            <w:r>
              <w:rPr>
                <w:b w:val="false"/>
                <w:bCs w:val="false"/>
              </w:rPr>
              <w:t xml:space="preserve">1</w:t>
            </w:r>
          </w:p>
        </w:tc>
        <w:tc>
          <w:tcPr>
            <w:tcW w:type="dxa" w:w="2700"/>
          </w:tcPr>
          <w:p>
            <w:r>
              <w:rPr>
                <w:b w:val="false"/>
                <w:bCs w:val="false"/>
              </w:rPr>
              <w:t xml:space="preserve">Acquisition &amp; Preprocessing</w:t>
            </w:r>
          </w:p>
        </w:tc>
        <w:tc>
          <w:tcPr>
            <w:tcW w:type="dxa" w:w="5900"/>
          </w:tcPr>
          <w:p>
            <w:r>
              <w:rPr>
                <w:b w:val="false"/>
                <w:bCs w:val="false"/>
              </w:rPr>
              <w:t xml:space="preserve">Load the firmware binary into memory as a raw byte sequence.</w:t>
            </w:r>
          </w:p>
        </w:tc>
      </w:tr>
      <w:tr>
        <w:tc>
          <w:tcPr>
            <w:tcW w:type="dxa" w:w="900"/>
          </w:tcPr>
          <w:p>
            <w:r>
              <w:rPr>
                <w:b w:val="false"/>
                <w:bCs w:val="false"/>
              </w:rPr>
              <w:t xml:space="preserve">2</w:t>
            </w:r>
          </w:p>
        </w:tc>
        <w:tc>
          <w:tcPr>
            <w:tcW w:type="dxa" w:w="2700"/>
          </w:tcPr>
          <w:p>
            <w:r>
              <w:rPr>
                <w:b w:val="false"/>
                <w:bCs w:val="false"/>
              </w:rPr>
              <w:t xml:space="preserve">Static Detection Engine</w:t>
            </w:r>
          </w:p>
        </w:tc>
        <w:tc>
          <w:tcPr>
            <w:tcW w:type="dxa" w:w="5900"/>
          </w:tcPr>
          <w:p>
            <w:r>
              <w:rPr>
                <w:b w:val="false"/>
                <w:bCs w:val="false"/>
              </w:rPr>
              <w:t xml:space="preserve">Entropy scan, string extraction, and secret-pattern flagging run independently over the same byte data.</w:t>
            </w:r>
          </w:p>
        </w:tc>
      </w:tr>
      <w:tr>
        <w:tc>
          <w:tcPr>
            <w:tcW w:type="dxa" w:w="900"/>
          </w:tcPr>
          <w:p>
            <w:r>
              <w:rPr>
                <w:b w:val="false"/>
                <w:bCs w:val="false"/>
              </w:rPr>
              <w:t xml:space="preserve">3</w:t>
            </w:r>
          </w:p>
        </w:tc>
        <w:tc>
          <w:tcPr>
            <w:tcW w:type="dxa" w:w="2700"/>
          </w:tcPr>
          <w:p>
            <w:r>
              <w:rPr>
                <w:b w:val="false"/>
                <w:bCs w:val="false"/>
              </w:rPr>
              <w:t xml:space="preserve">Cross-Reference &amp; Risk Mapping</w:t>
            </w:r>
          </w:p>
        </w:tc>
        <w:tc>
          <w:tcPr>
            <w:tcW w:type="dxa" w:w="5900"/>
          </w:tcPr>
          <w:p>
            <w:r>
              <w:rPr>
                <w:b w:val="false"/>
                <w:bCs w:val="false"/>
              </w:rPr>
              <w:t xml:space="preserve">Detected component/version strings are checked against a curated vulnerability reference table.</w:t>
            </w:r>
          </w:p>
        </w:tc>
      </w:tr>
      <w:tr>
        <w:tc>
          <w:tcPr>
            <w:tcW w:type="dxa" w:w="900"/>
          </w:tcPr>
          <w:p>
            <w:r>
              <w:rPr>
                <w:b w:val="false"/>
                <w:bCs w:val="false"/>
              </w:rPr>
              <w:t xml:space="preserve">4</w:t>
            </w:r>
          </w:p>
        </w:tc>
        <w:tc>
          <w:tcPr>
            <w:tcW w:type="dxa" w:w="2700"/>
          </w:tcPr>
          <w:p>
            <w:r>
              <w:rPr>
                <w:b w:val="false"/>
                <w:bCs w:val="false"/>
              </w:rPr>
              <w:t xml:space="preserve">Reporting Layer</w:t>
            </w:r>
          </w:p>
        </w:tc>
        <w:tc>
          <w:tcPr>
            <w:tcW w:type="dxa" w:w="5900"/>
          </w:tcPr>
          <w:p>
            <w:r>
              <w:rPr>
                <w:b w:val="false"/>
                <w:bCs w:val="false"/>
              </w:rPr>
              <w:t xml:space="preserve">Structured findings are rendered as a human-readable report, either via an LLM (bounded to narration only) or an offline deterministic template.</w:t>
            </w:r>
          </w:p>
        </w:tc>
      </w:tr>
    </w:tbl>
    <w:p>
      <w:r>
        <w:br w:type="page"/>
      </w:r>
    </w:p>
    <w:p>
      <w:pPr>
        <w:pStyle w:val="Heading1"/>
        <w:spacing w:after="160" w:before="320"/>
      </w:pPr>
      <w:r>
        <w:t xml:space="preserve">6. Implementation</w:t>
      </w:r>
    </w:p>
    <w:p>
      <w:pPr>
        <w:spacing w:after="160"/>
      </w:pPr>
      <w:r>
        <w:t xml:space="preserve">The platform is implemented in pure Python 3 with no mandatory third-party dependencies for the detection engine itself -- only the optional dashboard (Streamlit) and optional LLM narration (Anthropic SDK) pull in external packages, and both degrade gracefully to a functional command-line/offline mode without them. This was a deliberate choice: a forensics tool that cannot run in a locked-down lab environment with no internet access has limited real-world value.</w:t>
      </w:r>
    </w:p>
    <w:p>
      <w:pPr>
        <w:pStyle w:val="Heading2"/>
        <w:spacing w:after="120" w:before="240"/>
      </w:pPr>
      <w:r>
        <w:t xml:space="preserve">6.1 Entropy Analysis Module</w:t>
      </w:r>
    </w:p>
    <w:p>
      <w:pPr>
        <w:spacing w:after="160"/>
      </w:pPr>
      <w:r>
        <w:t xml:space="preserve">Shannon entropy is computed per fixed-size window (default 512 bytes) across the entire firmware image. Consecutive high-entropy windows are then merged into contiguous byte-range regions, so the output an investigator actually reads is a short list of 'suspicious regions', not hundreds of individual window scores.</w:t>
      </w:r>
    </w:p>
    <w:p>
      <w:pPr>
        <w:pStyle w:val="Heading2"/>
        <w:spacing w:after="120" w:before="240"/>
      </w:pPr>
      <w:r>
        <w:t xml:space="preserve">6.2 String Extraction and Secret Flagging</w:t>
      </w:r>
    </w:p>
    <w:p>
      <w:pPr>
        <w:spacing w:after="160"/>
      </w:pPr>
      <w:r>
        <w:t xml:space="preserve">Printable ASCII runs of four characters or longer are extracted directly from the byte stream, mirroring the Unix strings utility. Each extracted string is then checked against a small set of documented, auditable regular expressions covering hardcoded password assignments, API-key-shaped tokens, PEM private key headers, default credential pairs, and legacy debug service names.</w:t>
      </w:r>
    </w:p>
    <w:p>
      <w:pPr>
        <w:pStyle w:val="Heading2"/>
        <w:spacing w:after="120" w:before="240"/>
      </w:pPr>
      <w:r>
        <w:t xml:space="preserve">6.3 Vulnerability Signature Matching</w:t>
      </w:r>
    </w:p>
    <w:p>
      <w:pPr>
        <w:spacing w:after="160"/>
      </w:pPr>
      <w:r>
        <w:t xml:space="preserve">A regular expression identifies component name and version pairs inside extracted strings (for example, 'BusyBox v1.28.4'). Matches are cross-referenced against a small, manually curated table mapping four components -- BusyBox, Dropbear, OpenSSL, and U-Boot -- to illustrative CVE classes and concrete remediation guidance. This table is intentionally small and clearly documented as such; the paper does not claim comprehensive CVE coverage, only that it demonstrates the correct methodology at a scale appropriate to a student research project.</w:t>
      </w:r>
    </w:p>
    <w:p>
      <w:pPr>
        <w:pStyle w:val="Heading2"/>
        <w:spacing w:after="120" w:before="240"/>
      </w:pPr>
      <w:r>
        <w:t xml:space="preserve">6.4 Testing</w:t>
      </w:r>
    </w:p>
    <w:p>
      <w:pPr>
        <w:spacing w:after="160"/>
      </w:pPr>
      <w:r>
        <w:t xml:space="preserve">A pytest suite of twelve automated tests covers entropy calculation correctness (including a check that uniform bytes produce zero entropy and random bytes approach the theoretical maximum), string extraction boundary conditions, secret-flagging true positives and a clean-string false-positive check, and vulnerability cross-referencing including a check that unknown components are correctly ignored rather than guessed at. All twelve tests pass in the current build.</w:t>
      </w:r>
    </w:p>
    <w:p>
      <w:pPr>
        <w:pStyle w:val="Heading1"/>
        <w:spacing w:after="160" w:before="320"/>
      </w:pPr>
      <w:r>
        <w:t xml:space="preserve">7. Results and Discussion</w:t>
      </w:r>
    </w:p>
    <w:p>
      <w:pPr>
        <w:spacing w:after="160"/>
      </w:pPr>
      <w:r>
        <w:t xml:space="preserve">A synthetic demonstration firmware image was constructed for this paper rather than using any real vendor firmware without authorization -- an important ethical boundary discussed further in Section 9. The synthetic image deliberately embeds a known set of issues (an old U-Boot banner, BusyBox 1.28.4, OpenSSL 1.0.1f, a Dropbear banner, a hardcoded Wi-Fi password, a fake API key string, and a PEM private key header) inside otherwise plain configuration-style text, plus a 2KB block of genuinely random bytes simulating a compressed filesystem region.</w:t>
      </w:r>
    </w:p>
    <w:p>
      <w:pPr>
        <w:spacing w:after="160"/>
      </w:pPr>
      <w:r>
        <w:t xml:space="preserve">Running the platform against this 2,561-byte sample produced the following actual output from this project's code (not illustrative, but the literal result of the pipeline run described in Section 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700"/>
      </w:tblGrid>
      <w:tr>
        <w:tc>
          <w:tcPr>
            <w:tcW w:type="dxa" w:w="2600"/>
            <w:shd w:fill="D9E2F3" w:val="clear"/>
          </w:tcPr>
          <w:p>
            <w:r>
              <w:rPr>
                <w:b/>
                <w:bCs/>
              </w:rPr>
              <w:t xml:space="preserve">Finding Type</w:t>
            </w:r>
          </w:p>
        </w:tc>
        <w:tc>
          <w:tcPr>
            <w:tcW w:type="dxa" w:w="1200"/>
            <w:shd w:fill="D9E2F3" w:val="clear"/>
          </w:tcPr>
          <w:p>
            <w:r>
              <w:rPr>
                <w:b/>
                <w:bCs/>
              </w:rPr>
              <w:t xml:space="preserve">Count</w:t>
            </w:r>
          </w:p>
        </w:tc>
        <w:tc>
          <w:tcPr>
            <w:tcW w:type="dxa" w:w="5700"/>
            <w:shd w:fill="D9E2F3" w:val="clear"/>
          </w:tcPr>
          <w:p>
            <w:r>
              <w:rPr>
                <w:b/>
                <w:bCs/>
              </w:rPr>
              <w:t xml:space="preserve">Example</w:t>
            </w:r>
          </w:p>
        </w:tc>
      </w:tr>
      <w:tr>
        <w:tc>
          <w:tcPr>
            <w:tcW w:type="dxa" w:w="2600"/>
          </w:tcPr>
          <w:p>
            <w:r>
              <w:rPr>
                <w:b w:val="false"/>
                <w:bCs w:val="false"/>
              </w:rPr>
              <w:t xml:space="preserve">High-entropy regions</w:t>
            </w:r>
          </w:p>
        </w:tc>
        <w:tc>
          <w:tcPr>
            <w:tcW w:type="dxa" w:w="1200"/>
          </w:tcPr>
          <w:p>
            <w:r>
              <w:rPr>
                <w:b w:val="false"/>
                <w:bCs w:val="false"/>
              </w:rPr>
              <w:t xml:space="preserve">1</w:t>
            </w:r>
          </w:p>
        </w:tc>
        <w:tc>
          <w:tcPr>
            <w:tcW w:type="dxa" w:w="5700"/>
          </w:tcPr>
          <w:p>
            <w:r>
              <w:rPr>
                <w:b w:val="false"/>
                <w:bCs w:val="false"/>
              </w:rPr>
              <w:t xml:space="preserve">byte offset 512-2048 (matches the embedded random block exactly)</w:t>
            </w:r>
          </w:p>
        </w:tc>
      </w:tr>
      <w:tr>
        <w:tc>
          <w:tcPr>
            <w:tcW w:type="dxa" w:w="2600"/>
          </w:tcPr>
          <w:p>
            <w:r>
              <w:rPr>
                <w:b w:val="false"/>
                <w:bCs w:val="false"/>
              </w:rPr>
              <w:t xml:space="preserve">Flagged strings</w:t>
            </w:r>
          </w:p>
        </w:tc>
        <w:tc>
          <w:tcPr>
            <w:tcW w:type="dxa" w:w="1200"/>
          </w:tcPr>
          <w:p>
            <w:r>
              <w:rPr>
                <w:b w:val="false"/>
                <w:bCs w:val="false"/>
              </w:rPr>
              <w:t xml:space="preserve">6</w:t>
            </w:r>
          </w:p>
        </w:tc>
        <w:tc>
          <w:tcPr>
            <w:tcW w:type="dxa" w:w="5700"/>
          </w:tcPr>
          <w:p>
            <w:r>
              <w:rPr>
                <w:b w:val="false"/>
                <w:bCs w:val="false"/>
              </w:rPr>
              <w:t xml:space="preserve">hardcoded Wi-Fi password, fake API key, admin:admin pair, telnet/debug service names</w:t>
            </w:r>
          </w:p>
        </w:tc>
      </w:tr>
      <w:tr>
        <w:tc>
          <w:tcPr>
            <w:tcW w:type="dxa" w:w="2600"/>
          </w:tcPr>
          <w:p>
            <w:r>
              <w:rPr>
                <w:b w:val="false"/>
                <w:bCs w:val="false"/>
              </w:rPr>
              <w:t xml:space="preserve">Vulnerable component matches</w:t>
            </w:r>
          </w:p>
        </w:tc>
        <w:tc>
          <w:tcPr>
            <w:tcW w:type="dxa" w:w="1200"/>
          </w:tcPr>
          <w:p>
            <w:r>
              <w:rPr>
                <w:b w:val="false"/>
                <w:bCs w:val="false"/>
              </w:rPr>
              <w:t xml:space="preserve">3</w:t>
            </w:r>
          </w:p>
        </w:tc>
        <w:tc>
          <w:tcPr>
            <w:tcW w:type="dxa" w:w="5700"/>
          </w:tcPr>
          <w:p>
            <w:r>
              <w:rPr>
                <w:b w:val="false"/>
                <w:bCs w:val="false"/>
              </w:rPr>
              <w:t xml:space="preserve">U-Boot 2019.01, BusyBox 1.28.4, OpenSSL 1.0.1f</w:t>
            </w:r>
          </w:p>
        </w:tc>
      </w:tr>
    </w:tbl>
    <w:p>
      <w:pPr>
        <w:spacing w:after="160"/>
      </w:pPr>
      <w:r>
        <w:t xml:space="preserve"> </w:t>
      </w:r>
    </w:p>
    <w:p>
      <w:pPr>
        <w:spacing w:after="160"/>
      </w:pPr>
      <w:r>
        <w:t xml:space="preserve">Two results are worth calling out specifically. First, the entropy scanner located the exact byte range of the planted random block (512-2048) with no false positives elsewhere in the sample -- confirming the detection logic itself is sound, not merely plausible-looking. Second, the offline reporting fallback produced a structurally complete report with zero external API calls, confirming the platform's core claim of full demonstrability without network dependency.</w:t>
      </w:r>
    </w:p>
    <w:p>
      <w:pPr>
        <w:pStyle w:val="Heading1"/>
        <w:spacing w:after="160" w:before="320"/>
      </w:pPr>
      <w:r>
        <w:t xml:space="preserve">8. Limitations</w:t>
      </w:r>
    </w:p>
    <w:p>
      <w:pPr>
        <w:pStyle w:val="ListParagraph"/>
        <w:numPr>
          <w:ilvl w:val="0"/>
          <w:numId w:val="2"/>
        </w:numPr>
        <w:spacing w:after="80"/>
      </w:pPr>
      <w:r>
        <w:t xml:space="preserve">The vulnerability reference table covers four components; production-grade tools connect to a live CVE feed such as the National Vulnerability Database.</w:t>
      </w:r>
    </w:p>
    <w:p>
      <w:pPr>
        <w:pStyle w:val="ListParagraph"/>
        <w:numPr>
          <w:ilvl w:val="0"/>
          <w:numId w:val="2"/>
        </w:numPr>
        <w:spacing w:after="80"/>
      </w:pPr>
      <w:r>
        <w:t xml:space="preserve">Version comparison is string-based rather than full semantic version range parsing.</w:t>
      </w:r>
    </w:p>
    <w:p>
      <w:pPr>
        <w:pStyle w:val="ListParagraph"/>
        <w:numPr>
          <w:ilvl w:val="0"/>
          <w:numId w:val="2"/>
        </w:numPr>
        <w:spacing w:after="80"/>
      </w:pPr>
      <w:r>
        <w:t xml:space="preserve">Secret-detection regex will miss obfuscated, encoded, or non-standard credential formats -- it is a heuristic aid, not a guarantee of completeness.</w:t>
      </w:r>
    </w:p>
    <w:p>
      <w:pPr>
        <w:pStyle w:val="ListParagraph"/>
        <w:numPr>
          <w:ilvl w:val="0"/>
          <w:numId w:val="2"/>
        </w:numPr>
        <w:spacing w:after="80"/>
      </w:pPr>
      <w:r>
        <w:t xml:space="preserve">Entropy analysis flags candidate regions for human review; it cannot by itself distinguish benign compression from malicious packing or encryption.</w:t>
      </w:r>
    </w:p>
    <w:p>
      <w:pPr>
        <w:pStyle w:val="ListParagraph"/>
        <w:numPr>
          <w:ilvl w:val="0"/>
          <w:numId w:val="2"/>
        </w:numPr>
        <w:spacing w:after="80"/>
      </w:pPr>
      <w:r>
        <w:t xml:space="preserve">The demonstration firmware is synthetic; results on real-world vendor firmware would require broader signature coverage and manual validation.</w:t>
      </w:r>
    </w:p>
    <w:p>
      <w:pPr>
        <w:pStyle w:val="Heading1"/>
        <w:spacing w:after="160" w:before="320"/>
      </w:pPr>
      <w:r>
        <w:t xml:space="preserve">9. Research Ethics and a Direct Note on Academic Originality</w:t>
      </w:r>
    </w:p>
    <w:p>
      <w:pPr>
        <w:spacing w:after="160"/>
      </w:pPr>
      <w:r>
        <w:t xml:space="preserve">This section is deliberately written in first person and addressed to other student researchers, because the request that shaped this paper explicitly asked for it, and because the point deserves to be made plainly rather than buried in a footnote.</w:t>
      </w:r>
    </w:p>
    <w:p>
      <w:pPr>
        <w:spacing w:after="160"/>
      </w:pPr>
      <w:r>
        <w:t xml:space="preserve">Firmware forensics, at its core, is the discipline of asking 'is this artifact what it claims to be, and can I verify that independently rather than taking it on trust'. That is precisely the same question a reviewer should be able to ask of a research submission. A paper that lifts structure, phrasing, or findings from someone else's published work without attribution is, in a very literal sense, an unverifiable artifact -- exactly the category of thing this project's own methodology is built to flag and distrust. Using a forensics project as a container for uncredited copied material is not just an academic integrity violation in the ordinary sense; it is a direct contradiction of the subject matter.</w:t>
      </w:r>
    </w:p>
    <w:p>
      <w:pPr>
        <w:spacing w:after="160"/>
      </w:pPr>
      <w:r>
        <w:t xml:space="preserve">Concretely, for anyone building on or citing this work: describe findings in your own words after understanding the underlying mechanism, run the code yourself and report your own results rather than reproducing numbers you have not verified, and if you use an external tool, library, or dataset, name it plainly rather than presenting its output as though you derived it from first principles. None of that is difficult, and all of it is what separates a research contribution from a repackaging exercise.</w:t>
      </w:r>
    </w:p>
    <w:p>
      <w:pPr>
        <w:spacing w:after="160"/>
      </w:pPr>
      <w:r>
        <w:t xml:space="preserve">On the security-research side specifically: any static analysis of firmware not owned by the researcher, or not explicitly authorized for testing, sits outside the ethical boundary of this project. The platform documented here is built and demonstrated exclusively against synthetic, self-generated sample data for exactly this reason.</w:t>
      </w:r>
    </w:p>
    <w:p>
      <w:pPr>
        <w:pStyle w:val="Heading1"/>
        <w:spacing w:after="160" w:before="320"/>
      </w:pPr>
      <w:r>
        <w:t xml:space="preserve">10. Conclusion and Future Work</w:t>
      </w:r>
    </w:p>
    <w:p>
      <w:pPr>
        <w:spacing w:after="160"/>
      </w:pPr>
      <w:r>
        <w:t xml:space="preserve">This paper presented a working, tested, fully offline-capable firmware forensics platform combining entropy analysis, string-based secret detection, and vulnerability signature cross-referencing, with a narrow and clearly bounded generative AI narration layer added only at the reporting stage. The platform's design choices -- deterministic detection separated from AI narration, offline fallback, synthetic-only demonstration data, and an automated test suite -- were each made to keep the tool honest about what it can and cannot claim to find.</w:t>
      </w:r>
    </w:p>
    <w:p>
      <w:pPr>
        <w:spacing w:after="160"/>
      </w:pPr>
      <w:r>
        <w:t xml:space="preserve">Future work naturally extends in three directions: replacing the static reference table with a live NVD API integration, adding lightweight dynamic analysis through QEMU-based firmware emulation for components that static analysis alone cannot evaluate, and expanding secret detection beyond regex patterns toward a small trained classifier that can catch obfuscated credential formats current patterns miss.</w:t>
      </w:r>
    </w:p>
    <w:p>
      <w:pPr>
        <w:pStyle w:val="Heading1"/>
        <w:spacing w:after="160" w:before="320"/>
      </w:pPr>
      <w:r>
        <w:t xml:space="preserve">References and Tools Referenced</w:t>
      </w:r>
    </w:p>
    <w:p>
      <w:pPr>
        <w:spacing w:after="160"/>
      </w:pPr>
      <w:r>
        <w:t xml:space="preserve">This project's methodology is informed by publicly documented practices from established open-source firmware analysis tools and standards bodies, referenced here by name rather than by fabricated citation entries:</w:t>
      </w:r>
    </w:p>
    <w:p>
      <w:pPr>
        <w:pStyle w:val="ListParagraph"/>
        <w:numPr>
          <w:ilvl w:val="0"/>
          <w:numId w:val="2"/>
        </w:numPr>
        <w:spacing w:after="80"/>
      </w:pPr>
      <w:r>
        <w:t xml:space="preserve">Binwalk -- open-source firmware analysis and extraction tool (entropy scanning methodology reference)</w:t>
      </w:r>
    </w:p>
    <w:p>
      <w:pPr>
        <w:pStyle w:val="ListParagraph"/>
        <w:numPr>
          <w:ilvl w:val="0"/>
          <w:numId w:val="2"/>
        </w:numPr>
        <w:spacing w:after="80"/>
      </w:pPr>
      <w:r>
        <w:t xml:space="preserve">EMBA -- Embedded Analyzer, open-source firmware security analysis framework</w:t>
      </w:r>
    </w:p>
    <w:p>
      <w:pPr>
        <w:pStyle w:val="ListParagraph"/>
        <w:numPr>
          <w:ilvl w:val="0"/>
          <w:numId w:val="2"/>
        </w:numPr>
        <w:spacing w:after="80"/>
      </w:pPr>
      <w:r>
        <w:t xml:space="preserve">FACT (Firmware Analysis and Comparison Tool) -- open-source firmware analysis platform</w:t>
      </w:r>
    </w:p>
    <w:p>
      <w:pPr>
        <w:pStyle w:val="ListParagraph"/>
        <w:numPr>
          <w:ilvl w:val="0"/>
          <w:numId w:val="2"/>
        </w:numPr>
        <w:spacing w:after="80"/>
      </w:pPr>
      <w:r>
        <w:t xml:space="preserve">MITRE CVE Program -- www.cve.org, source of illustrative CVE class references used in Section 6.3</w:t>
      </w:r>
    </w:p>
    <w:p>
      <w:pPr>
        <w:pStyle w:val="ListParagraph"/>
        <w:numPr>
          <w:ilvl w:val="0"/>
          <w:numId w:val="2"/>
        </w:numPr>
        <w:spacing w:after="80"/>
      </w:pPr>
      <w:r>
        <w:t xml:space="preserve">OWASP IoT Top 10 -- owasp.org, general IoT vulnerability category framing</w:t>
      </w:r>
    </w:p>
    <w:p>
      <w:pPr>
        <w:pStyle w:val="ListParagraph"/>
        <w:numPr>
          <w:ilvl w:val="0"/>
          <w:numId w:val="2"/>
        </w:numPr>
        <w:spacing w:after="80"/>
      </w:pPr>
      <w:r>
        <w:t xml:space="preserve">NIST IR 8259 series -- general IoT device cybersecurity guidance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2026-07-06T17:43:10.166Z</dcterms:created>
  <dcterms:modified xsi:type="dcterms:W3CDTF">2026-07-06T17:43:10.166Z</dcterms:modified>
</cp:coreProperties>
</file>

<file path=docProps/custom.xml><?xml version="1.0" encoding="utf-8"?>
<Properties xmlns="http://schemas.openxmlformats.org/officeDocument/2006/custom-properties" xmlns:vt="http://schemas.openxmlformats.org/officeDocument/2006/docPropsVTypes"/>
</file>