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1E3A5F"/>
          <w:sz w:val="32"/>
        </w:rPr>
        <w:t>OWNER OPERATOR -- INDEPENDENT CLOSER SERVICES AGREEMENT</w:t>
      </w:r>
    </w:p>
    <w:p>
      <w:pPr>
        <w:pStyle w:val="Normal"/>
        <w:jc w:val="center"/>
        <w:rPr/>
      </w:pPr>
      <w:r>
        <w:rPr>
          <w:color w:val="64748B"/>
          <w:sz w:val="20"/>
        </w:rPr>
        <w:t>Facilitated through the Foreclosure Recovery Inc. Platform</w:t>
      </w:r>
    </w:p>
    <w:p>
      <w:pPr>
        <w:pStyle w:val="Normal"/>
        <w:rPr/>
      </w:pPr>
      <w:r>
        <w:rPr/>
        <w:t>________________________________________________________________________________</w:t>
      </w:r>
    </w:p>
    <w:p>
      <w:pPr>
        <w:pStyle w:val="Normal"/>
        <w:rPr/>
      </w:pPr>
      <w:r>
        <w:rPr/>
        <w:t>This Owner Operator -- Independent Closer Services Agreement ("Agreement") is entered into as of the date of last signature below ("Effective Date"), by and between:</w:t>
      </w:r>
    </w:p>
    <w:p>
      <w:pPr>
        <w:pStyle w:val="Normal"/>
        <w:rPr/>
      </w:pPr>
      <w:r>
        <w:rPr>
          <w:b/>
          <w:sz w:val="22"/>
        </w:rPr>
        <w:t>Owner Operator Name:</w:t>
      </w:r>
      <w:r>
        <w:rPr>
          <w:sz w:val="22"/>
        </w:rPr>
        <w:t xml:space="preserve">  ____________________________</w:t>
      </w:r>
    </w:p>
    <w:p>
      <w:pPr>
        <w:pStyle w:val="Normal"/>
        <w:rPr/>
      </w:pPr>
      <w:r>
        <w:rPr>
          <w:b/>
          <w:sz w:val="22"/>
        </w:rPr>
        <w:t>Entity Type (LLC / Corporation / Sole Proprietorship):</w:t>
      </w:r>
      <w:r>
        <w:rPr>
          <w:sz w:val="22"/>
        </w:rPr>
        <w:t xml:space="preserve">  ____________________________</w:t>
      </w:r>
    </w:p>
    <w:p>
      <w:pPr>
        <w:pStyle w:val="Normal"/>
        <w:rPr/>
      </w:pPr>
      <w:r>
        <w:rPr>
          <w:b/>
          <w:sz w:val="22"/>
        </w:rPr>
        <w:t>State of Organization:</w:t>
      </w:r>
      <w:r>
        <w:rPr>
          <w:sz w:val="22"/>
        </w:rPr>
        <w:t xml:space="preserve">  ____________________________</w:t>
      </w:r>
    </w:p>
    <w:p>
      <w:pPr>
        <w:pStyle w:val="Normal"/>
        <w:rPr/>
      </w:pPr>
      <w:r>
        <w:rPr>
          <w:b/>
          <w:sz w:val="22"/>
        </w:rPr>
        <w:t>Principal Address:</w:t>
      </w:r>
      <w:r>
        <w:rPr>
          <w:sz w:val="22"/>
        </w:rPr>
        <w:t xml:space="preserve">  ____________________________</w:t>
      </w:r>
    </w:p>
    <w:p>
      <w:pPr>
        <w:pStyle w:val="Normal"/>
        <w:rPr/>
      </w:pPr>
      <w:r>
        <w:rPr/>
        <w:t>(hereinafter referred to as "Owner Operator"), operating as a licensed participant in the Foreclosure Recovery Inc. Owner Operator Program; and</w:t>
      </w:r>
    </w:p>
    <w:p>
      <w:pPr>
        <w:pStyle w:val="Normal"/>
        <w:rPr/>
      </w:pPr>
      <w:r>
        <w:rPr>
          <w:b/>
          <w:sz w:val="22"/>
        </w:rPr>
        <w:t xml:space="preserve">Closer </w:t>
      </w:r>
      <w:r>
        <w:rPr>
          <w:b/>
          <w:sz w:val="22"/>
        </w:rPr>
        <w:t xml:space="preserve">First </w:t>
      </w:r>
      <w:r>
        <w:rPr>
          <w:b/>
          <w:sz w:val="22"/>
        </w:rPr>
        <w:t>Name:</w:t>
      </w:r>
      <w:r>
        <w:rPr>
          <w:sz w:val="22"/>
        </w:rPr>
        <w:t xml:space="preserve">  ____________________________</w:t>
      </w:r>
    </w:p>
    <w:p>
      <w:pPr>
        <w:pStyle w:val="Normal"/>
        <w:rPr/>
      </w:pPr>
      <w:r>
        <w:rPr/>
        <w:t>(hereinafter referred to as "Closer"), an independent contractor.</w:t>
      </w:r>
    </w:p>
    <w:p>
      <w:pPr>
        <w:pStyle w:val="Normal"/>
        <w:rPr/>
      </w:pPr>
      <w:r>
        <w:rPr/>
        <w:t>Owner Operator and Closer are collectively referred to herein as the "Parties" and individually as a "Party."</w:t>
      </w:r>
    </w:p>
    <w:p>
      <w:pPr>
        <w:pStyle w:val="Heading2"/>
        <w:rPr/>
      </w:pPr>
      <w:r>
        <w:rPr>
          <w:rFonts w:ascii="Times New Roman" w:hAnsi="Times New Roman"/>
          <w:color w:val="1E3A5F"/>
        </w:rPr>
        <w:t>ARTICLE I -- RECITALS AND PURPOSE</w:t>
      </w:r>
    </w:p>
    <w:p>
      <w:pPr>
        <w:pStyle w:val="Normal"/>
        <w:rPr/>
      </w:pPr>
      <w:r>
        <w:rPr/>
        <w:t>WHEREAS, Owner Operator maintains an independent asset recovery business that identifies, processes, and recovers unclaimed surplus funds on behalf of former property owners following foreclosure sales; and</w:t>
      </w:r>
    </w:p>
    <w:p>
      <w:pPr>
        <w:pStyle w:val="Normal"/>
        <w:rPr/>
      </w:pPr>
      <w:r>
        <w:rPr/>
        <w:t>WHEREAS, Owner Operator operates under the Foreclosure Recovery Inc. Owner Operator Program, which provides platform access, lead data, compliance infrastructure, and operational support; and</w:t>
      </w:r>
    </w:p>
    <w:p>
      <w:pPr>
        <w:pStyle w:val="Normal"/>
        <w:rPr/>
      </w:pPr>
      <w:r>
        <w:rPr/>
        <w:t>WHEREAS, Closer is a qualified asset recovery professional who has been vetted and approved through the platform's compliance screening process; and</w:t>
      </w:r>
    </w:p>
    <w:p>
      <w:pPr>
        <w:pStyle w:val="Normal"/>
        <w:rPr/>
      </w:pPr>
      <w:r>
        <w:rPr/>
        <w:t>WHEREAS, Owner Operator desires to engage Closer to provide lead closing services on Owner Operator's behalf, and Closer desires to provide such services under the terms set forth herein.</w:t>
      </w:r>
    </w:p>
    <w:p>
      <w:pPr>
        <w:pStyle w:val="Normal"/>
        <w:rPr/>
      </w:pPr>
      <w:r>
        <w:rPr/>
        <w:t>NOW, THEREFORE, in consideration of the mutual covenants herein, the Parties agree as follows:</w:t>
      </w:r>
    </w:p>
    <w:p>
      <w:pPr>
        <w:pStyle w:val="Heading2"/>
        <w:rPr/>
      </w:pPr>
      <w:r>
        <w:rPr>
          <w:rFonts w:ascii="Times New Roman" w:hAnsi="Times New Roman"/>
          <w:color w:val="1E3A5F"/>
        </w:rPr>
        <w:t>ARTICLE II -- SCOPE OF SERVICES</w:t>
      </w:r>
    </w:p>
    <w:p>
      <w:pPr>
        <w:pStyle w:val="Normal"/>
        <w:rPr/>
      </w:pPr>
      <w:r>
        <w:rPr/>
        <w:t>1. Engagement. Owner Operator engages Closer as an independent contractor to contact, qualify, and close surplus fund recovery leads assigned by Owner Operator through the platform dashboard.</w:t>
      </w:r>
    </w:p>
    <w:p>
      <w:pPr>
        <w:pStyle w:val="Normal"/>
        <w:rPr/>
      </w:pPr>
      <w:r>
        <w:rPr/>
        <w:t>2. Closer Duties. Closer shall:</w:t>
      </w:r>
    </w:p>
    <w:p>
      <w:pPr>
        <w:pStyle w:val="ListBullet"/>
        <w:numPr>
          <w:ilvl w:val="0"/>
          <w:numId w:val="1"/>
        </w:numPr>
        <w:rPr/>
      </w:pPr>
      <w:r>
        <w:rPr/>
        <w:t>Contact assigned leads promptly via telephone, email, or other approved outreach methods;</w:t>
      </w:r>
    </w:p>
    <w:p>
      <w:pPr>
        <w:pStyle w:val="ListBullet"/>
        <w:numPr>
          <w:ilvl w:val="0"/>
          <w:numId w:val="1"/>
        </w:numPr>
        <w:rPr/>
      </w:pPr>
      <w:r>
        <w:rPr/>
        <w:t>Clearly and accurately explain the surplus fund recovery process to potential claimants;</w:t>
      </w:r>
    </w:p>
    <w:p>
      <w:pPr>
        <w:pStyle w:val="ListBullet"/>
        <w:numPr>
          <w:ilvl w:val="0"/>
          <w:numId w:val="1"/>
        </w:numPr>
        <w:rPr/>
      </w:pPr>
      <w:r>
        <w:rPr/>
        <w:t>Obtain fully executed contingency fee agreements from willing claimants using Owner Operator's approved forms;</w:t>
      </w:r>
    </w:p>
    <w:p>
      <w:pPr>
        <w:pStyle w:val="ListBullet"/>
        <w:numPr>
          <w:ilvl w:val="0"/>
          <w:numId w:val="1"/>
        </w:numPr>
        <w:rPr/>
      </w:pPr>
      <w:r>
        <w:rPr/>
        <w:t xml:space="preserve">Coordinate with </w:t>
      </w:r>
      <w:r>
        <w:rPr/>
        <w:t>Foreclosure Recovery Inc.</w:t>
      </w:r>
      <w:r>
        <w:rPr/>
        <w:t xml:space="preserve"> on all documentation, court filings, and claim submissions;</w:t>
      </w:r>
    </w:p>
    <w:p>
      <w:pPr>
        <w:pStyle w:val="ListBullet"/>
        <w:numPr>
          <w:ilvl w:val="0"/>
          <w:numId w:val="1"/>
        </w:numPr>
        <w:rPr/>
      </w:pPr>
      <w:r>
        <w:rPr/>
        <w:t>Maintain detailed records of all communications, outreach attempts, and claimant interactions;</w:t>
      </w:r>
    </w:p>
    <w:p>
      <w:pPr>
        <w:pStyle w:val="ListBullet"/>
        <w:numPr>
          <w:ilvl w:val="0"/>
          <w:numId w:val="1"/>
        </w:numPr>
        <w:rPr/>
      </w:pPr>
      <w:r>
        <w:rPr/>
        <w:t>Comply with all federal, state, and local laws governing surplus fund recovery and consumer outreach.</w:t>
      </w:r>
    </w:p>
    <w:p>
      <w:pPr>
        <w:pStyle w:val="Normal"/>
        <w:rPr/>
      </w:pPr>
      <w:r>
        <w:rPr/>
        <w:t>3. Recorded Lines. All telephone communications with leads shall be conducted on recorded lines provided through the platform. Closer acknowledges and consents to recording of all calls.</w:t>
      </w:r>
    </w:p>
    <w:p>
      <w:pPr>
        <w:pStyle w:val="Normal"/>
        <w:rPr/>
      </w:pPr>
      <w:r>
        <w:rPr/>
        <w:t>4. Lead Exclusivity. Leads assigned to Closer by Owner Operator are exclusive to that Closer for the duration of the assignment. Closer shall not share, transfer, sell, or reassign leads to any third party.</w:t>
      </w:r>
    </w:p>
    <w:p>
      <w:pPr>
        <w:pStyle w:val="Normal"/>
        <w:rPr/>
      </w:pPr>
      <w:r>
        <w:rPr/>
        <w:t>5. Owner Operator Authority. Closer acknowledges that Owner Operator retains full authority over lead assignment, case strategy, client relationships, and all final decisions regarding claim filing and recovery.</w:t>
      </w:r>
    </w:p>
    <w:p>
      <w:pPr>
        <w:pStyle w:val="Heading2"/>
        <w:rPr/>
      </w:pPr>
      <w:r>
        <w:rPr>
          <w:rFonts w:ascii="Times New Roman" w:hAnsi="Times New Roman"/>
          <w:color w:val="1E3A5F"/>
        </w:rPr>
        <w:t>ARTICLE III -- COMPENSATION</w:t>
      </w:r>
    </w:p>
    <w:p>
      <w:pPr>
        <w:pStyle w:val="Normal"/>
        <w:rPr/>
      </w:pPr>
      <w:r>
        <w:rPr/>
        <w:t xml:space="preserve">1. Closer Fee. Closer shall receive a fee equal to </w:t>
      </w:r>
      <w:r>
        <w:rPr>
          <w:b/>
        </w:rPr>
        <w:t>ten percent (10%)</w:t>
      </w:r>
      <w:r>
        <w:rPr/>
        <w:t xml:space="preserve"> of the total gross amount recovered on each claim successfully closed by Closer. The fee is calculated on the total surplus funds disbursed from the state-held account, before deduction of Owner Operator's service fee, attorney fees, or any incidental expenses.</w:t>
      </w:r>
    </w:p>
    <w:p>
      <w:pPr>
        <w:pStyle w:val="Normal"/>
        <w:rPr/>
      </w:pPr>
      <w:r>
        <w:rPr/>
        <w:t>2. Minimum Surplus Threshold. Closer shall only work leads with a verified surplus value of $20,000 or greater. Leads with surplus values below this threshold will not be assigned and are not eligible for closer services under this Agreement.</w:t>
      </w:r>
    </w:p>
    <w:p>
      <w:pPr>
        <w:pStyle w:val="Normal"/>
        <w:rPr/>
      </w:pPr>
      <w:r>
        <w:rPr/>
        <w:t>3. Payment Terms. Closer fees shall be paid within fifteen (15) business days of Owner Operator's receipt of recovered funds from the state entity. Payment shall be made via direct deposit, wire transfer, or company check at Owner Operator's discretion.</w:t>
      </w:r>
    </w:p>
    <w:p>
      <w:pPr>
        <w:pStyle w:val="Normal"/>
        <w:rPr/>
      </w:pPr>
      <w:r>
        <w:rPr/>
        <w:t>4. Contingency Basis. Compensation is strictly contingency-based. Closer shall not receive any advance payments, retainers, draws, salary, hourly wages, or guaranteed minimums. Payment is due only upon successful recovery and receipt of funds.</w:t>
      </w:r>
    </w:p>
    <w:p>
      <w:pPr>
        <w:pStyle w:val="Normal"/>
        <w:rPr/>
      </w:pPr>
      <w:r>
        <w:rPr/>
        <w:t>5. Multiple Closers. Owner Operator may engage multiple closers simultaneously. Each closer's fee is tied exclusively to claims they personally close.</w:t>
      </w:r>
    </w:p>
    <w:p>
      <w:pPr>
        <w:pStyle w:val="Heading2"/>
        <w:rPr/>
      </w:pPr>
      <w:r>
        <w:rPr>
          <w:rFonts w:ascii="Times New Roman" w:hAnsi="Times New Roman"/>
          <w:color w:val="1E3A5F"/>
        </w:rPr>
        <w:t>ARTICLE IV -- EXPENSES AND INCIDENTAL COSTS</w:t>
      </w:r>
    </w:p>
    <w:p>
      <w:pPr>
        <w:pStyle w:val="Normal"/>
        <w:rPr/>
      </w:pPr>
      <w:r>
        <w:rPr/>
        <w:t>1. Closer-Borne Expenses. Closer shall be solely responsible for the payment of all costs and expenses associated with the finalization and collection of each individual claimant's recovery funds, including but not limited to:</w:t>
      </w:r>
    </w:p>
    <w:p>
      <w:pPr>
        <w:pStyle w:val="ListBullet"/>
        <w:numPr>
          <w:ilvl w:val="0"/>
          <w:numId w:val="1"/>
        </w:numPr>
        <w:rPr/>
      </w:pPr>
      <w:r>
        <w:rPr/>
        <w:t>Attorney fees -- all legal costs including filing fees, motion preparation, court appearances, hearings, legal research, and attorney consultation;</w:t>
      </w:r>
    </w:p>
    <w:p>
      <w:pPr>
        <w:pStyle w:val="ListBullet"/>
        <w:numPr>
          <w:ilvl w:val="0"/>
          <w:numId w:val="1"/>
        </w:numPr>
        <w:rPr/>
      </w:pPr>
      <w:r>
        <w:rPr/>
        <w:t>Notary fees -- notarization of affidavits, powers of attorney, assignments, and all other documents requiring notarial acknowledgment;</w:t>
      </w:r>
    </w:p>
    <w:p>
      <w:pPr>
        <w:pStyle w:val="ListBullet"/>
        <w:numPr>
          <w:ilvl w:val="0"/>
          <w:numId w:val="1"/>
        </w:numPr>
        <w:rPr/>
      </w:pPr>
      <w:r>
        <w:rPr/>
        <w:t>Federal Express and courier fees -- overnight, priority, and expedited delivery of time-sensitive documents;</w:t>
      </w:r>
    </w:p>
    <w:p>
      <w:pPr>
        <w:pStyle w:val="ListBullet"/>
        <w:numPr>
          <w:ilvl w:val="0"/>
          <w:numId w:val="1"/>
        </w:numPr>
        <w:rPr/>
      </w:pPr>
      <w:r>
        <w:rPr/>
        <w:t>Certified mail fees -- all correspondence requiring proof of delivery via USPS certified mail with return receipt requested;</w:t>
      </w:r>
    </w:p>
    <w:p>
      <w:pPr>
        <w:pStyle w:val="ListBullet"/>
        <w:numPr>
          <w:ilvl w:val="0"/>
          <w:numId w:val="1"/>
        </w:numPr>
        <w:rPr/>
      </w:pPr>
      <w:r>
        <w:rPr/>
        <w:t>Court filing fees -- fees for filing motions, petitions, claims, or other documents with any court;</w:t>
      </w:r>
    </w:p>
    <w:p>
      <w:pPr>
        <w:pStyle w:val="ListBullet"/>
        <w:numPr>
          <w:ilvl w:val="0"/>
          <w:numId w:val="1"/>
        </w:numPr>
        <w:rPr/>
      </w:pPr>
      <w:r>
        <w:rPr/>
        <w:t>Title search and document retrieval fees -- costs for obtaining property records, deed chains, lien searches;</w:t>
      </w:r>
    </w:p>
    <w:p>
      <w:pPr>
        <w:pStyle w:val="ListBullet"/>
        <w:numPr>
          <w:ilvl w:val="0"/>
          <w:numId w:val="1"/>
        </w:numPr>
        <w:rPr/>
      </w:pPr>
      <w:r>
        <w:rPr/>
        <w:t>Process server fees -- costs for service of process when required by court rules or statute;</w:t>
      </w:r>
    </w:p>
    <w:p>
      <w:pPr>
        <w:pStyle w:val="ListBullet"/>
        <w:numPr>
          <w:ilvl w:val="0"/>
          <w:numId w:val="1"/>
        </w:numPr>
        <w:rPr/>
      </w:pPr>
      <w:r>
        <w:rPr/>
        <w:t>Printing, copying, and document preparation costs;</w:t>
      </w:r>
    </w:p>
    <w:p>
      <w:pPr>
        <w:pStyle w:val="ListBullet"/>
        <w:numPr>
          <w:ilvl w:val="0"/>
          <w:numId w:val="1"/>
        </w:numPr>
        <w:rPr/>
      </w:pPr>
      <w:r>
        <w:rPr/>
        <w:t>Travel expenses -- mileage, lodging, and meals if in-person appearances are required;</w:t>
      </w:r>
    </w:p>
    <w:p>
      <w:pPr>
        <w:pStyle w:val="ListBullet"/>
        <w:numPr>
          <w:ilvl w:val="0"/>
          <w:numId w:val="1"/>
        </w:numPr>
        <w:rPr/>
      </w:pPr>
      <w:r>
        <w:rPr/>
        <w:t>Any other incidental fees directly associated with surplus fund recovery for any individual claimant.</w:t>
      </w:r>
    </w:p>
    <w:p>
      <w:pPr>
        <w:pStyle w:val="Normal"/>
        <w:rPr/>
      </w:pPr>
      <w:r>
        <w:rPr/>
        <w:t>2. No Reimbursement. Owner Operator shall not reimburse Closer for any expenses described in this Article.</w:t>
      </w:r>
    </w:p>
    <w:p>
      <w:pPr>
        <w:pStyle w:val="Normal"/>
        <w:rPr/>
      </w:pPr>
      <w:r>
        <w:rPr/>
        <w:t>3. Expense Accounting. Closer shall maintain receipts, invoices, and detailed records of all expenses incurred per claim for a minimum of four (4) years.</w:t>
      </w:r>
    </w:p>
    <w:p>
      <w:pPr>
        <w:pStyle w:val="Normal"/>
        <w:rPr/>
      </w:pPr>
      <w:r>
        <w:rPr/>
        <w:t>4. Pre-Approval for Extraordinary Expenses. For any single expense exceeding Five Hundred Dollars ($500.00) on a single claim, Closer shall obtain prior written approval from Owner Operator.</w:t>
      </w:r>
    </w:p>
    <w:p>
      <w:pPr>
        <w:pStyle w:val="Heading2"/>
        <w:rPr/>
      </w:pPr>
      <w:r>
        <w:rPr>
          <w:rFonts w:ascii="Times New Roman" w:hAnsi="Times New Roman"/>
          <w:color w:val="1E3A5F"/>
        </w:rPr>
        <w:t>ARTICLE V -- RELATIONSHIP OF THE PARTIES</w:t>
      </w:r>
    </w:p>
    <w:p>
      <w:pPr>
        <w:pStyle w:val="Normal"/>
        <w:rPr/>
      </w:pPr>
      <w:r>
        <w:rPr/>
        <w:t>1. Independent Contractor. Closer is an independent contractor. Nothing in this Agreement creates an employer-employee, partnership, joint venture, or agency relationship.</w:t>
      </w:r>
    </w:p>
    <w:p>
      <w:pPr>
        <w:pStyle w:val="Normal"/>
        <w:rPr/>
      </w:pPr>
      <w:r>
        <w:rPr/>
        <w:t xml:space="preserve">2. Taxes. Closer is solely responsible for all federal, state, and local taxes. </w:t>
      </w:r>
    </w:p>
    <w:p>
      <w:pPr>
        <w:pStyle w:val="Normal"/>
        <w:rPr/>
      </w:pPr>
      <w:r>
        <w:rPr/>
        <w:t>3. No Benefits. Closer is not entitled to any employee benefits from Owner Operator.</w:t>
      </w:r>
    </w:p>
    <w:p>
      <w:pPr>
        <w:pStyle w:val="Normal"/>
        <w:rPr/>
      </w:pPr>
      <w:r>
        <w:rPr/>
        <w:t>4. Equipment. Closer shall provide all tools, equipment, telephone, computer, internet access, and office supplies at Closer's own expense.</w:t>
      </w:r>
    </w:p>
    <w:p>
      <w:pPr>
        <w:pStyle w:val="Heading2"/>
        <w:rPr/>
      </w:pPr>
      <w:r>
        <w:rPr>
          <w:rFonts w:ascii="Times New Roman" w:hAnsi="Times New Roman"/>
          <w:color w:val="1E3A5F"/>
        </w:rPr>
        <w:t>ARTICLE VI -- CONFIDENTIALITY</w:t>
      </w:r>
    </w:p>
    <w:p>
      <w:pPr>
        <w:pStyle w:val="Normal"/>
        <w:rPr/>
      </w:pPr>
      <w:r>
        <w:rPr/>
        <w:t>1. Confidential Information. Closer shall maintain strict confidentiality regarding all lead data, claimant personal information, Owner Operator's business strategies, fee structures, client lists, and proprietary processes.</w:t>
      </w:r>
    </w:p>
    <w:p>
      <w:pPr>
        <w:pStyle w:val="Normal"/>
        <w:rPr/>
      </w:pPr>
      <w:r>
        <w:rPr/>
        <w:t>2. Non-Disclosure. Closer shall not disclose Confidential Information to any third party without prior written consent from Owner Operator, except as required by law.</w:t>
      </w:r>
    </w:p>
    <w:p>
      <w:pPr>
        <w:pStyle w:val="Normal"/>
        <w:rPr/>
      </w:pPr>
      <w:r>
        <w:rPr/>
        <w:t>3. Non-Solicitation. During the term and for twelve (12) months following termination, Closer shall not directly or indirectly solicit any claimant, lead, or client introduced through Owner Operator.</w:t>
      </w:r>
    </w:p>
    <w:p>
      <w:pPr>
        <w:pStyle w:val="Normal"/>
        <w:rPr/>
      </w:pPr>
      <w:r>
        <w:rPr/>
        <w:t>4. Non-Compete. During the term, Closer shall not provide closing services for any competing surplus fund recovery operation using leads obtained through Owner Operator.</w:t>
      </w:r>
    </w:p>
    <w:p>
      <w:pPr>
        <w:pStyle w:val="Normal"/>
        <w:rPr/>
      </w:pPr>
      <w:r>
        <w:rPr/>
        <w:t>5. Data Protection. Closer shall handle all PII in compliance with applicable privacy laws including the GLBA, TCPA, and state data protection statutes.</w:t>
      </w:r>
    </w:p>
    <w:p>
      <w:pPr>
        <w:pStyle w:val="Normal"/>
        <w:rPr/>
      </w:pPr>
      <w:r>
        <w:rPr/>
        <w:t>6. Return of Materials. Upon termination, Closer shall immediately return or securely destroy all Confidential Information and Owner Operator materials.</w:t>
      </w:r>
    </w:p>
    <w:p>
      <w:pPr>
        <w:pStyle w:val="Heading2"/>
        <w:rPr/>
      </w:pPr>
      <w:r>
        <w:rPr>
          <w:rFonts w:ascii="Times New Roman" w:hAnsi="Times New Roman"/>
          <w:color w:val="1E3A5F"/>
        </w:rPr>
        <w:t>ARTICLE VII -- COMPLIANCE AND PROFESSIONAL STANDARDS</w:t>
      </w:r>
    </w:p>
    <w:p>
      <w:pPr>
        <w:pStyle w:val="Normal"/>
        <w:rPr/>
      </w:pPr>
      <w:r>
        <w:rPr/>
        <w:t>1. Legal Compliance. Closer shall comply with all applicable laws including the TCPA, FDCPA, DNC regulations, and state foreclosure consultant statutes.</w:t>
      </w:r>
    </w:p>
    <w:p>
      <w:pPr>
        <w:pStyle w:val="Normal"/>
        <w:rPr/>
      </w:pPr>
      <w:r>
        <w:rPr/>
        <w:t>2. Professional Conduct. Misleading, deceptive, coercive, or high-pressure tactics are strictly prohibited.</w:t>
      </w:r>
    </w:p>
    <w:p>
      <w:pPr>
        <w:pStyle w:val="Normal"/>
        <w:rPr/>
      </w:pPr>
      <w:r>
        <w:rPr/>
        <w:t>3. Prohibited Actions. Closer shall not: collect payment from claimants; guarantee recovery amounts; provide legal advice (unless licensed); contact DNC-listed individuals without clearance; use Owner Operator's branding without authorization; file documents without Owner Operator approval; or negotiate fee modifications without authorization.</w:t>
      </w:r>
    </w:p>
    <w:p>
      <w:pPr>
        <w:pStyle w:val="Normal"/>
        <w:rPr/>
      </w:pPr>
      <w:r>
        <w:rPr/>
        <w:t>4. Quality Standards. Owner Operator may establish performance standards. Continued engagement is contingent on meeting these standards.</w:t>
      </w:r>
    </w:p>
    <w:p>
      <w:pPr>
        <w:pStyle w:val="Heading2"/>
        <w:rPr/>
      </w:pPr>
      <w:r>
        <w:rPr>
          <w:rFonts w:ascii="Times New Roman" w:hAnsi="Times New Roman"/>
          <w:color w:val="1E3A5F"/>
        </w:rPr>
        <w:t>ARTICLE VIII -- TERM AND TERMINATION</w:t>
      </w:r>
    </w:p>
    <w:p>
      <w:pPr>
        <w:pStyle w:val="Normal"/>
        <w:rPr/>
      </w:pPr>
      <w:r>
        <w:rPr/>
        <w:t>1. Term. This Agreement commences on the Effective Date and continues for twelve (12) months, auto-renewing unless terminated.</w:t>
      </w:r>
    </w:p>
    <w:p>
      <w:pPr>
        <w:pStyle w:val="Normal"/>
        <w:rPr/>
      </w:pPr>
      <w:r>
        <w:rPr/>
        <w:t>2. Termination for Convenience. Either Party may terminate with thirty (30) days' written notice.</w:t>
      </w:r>
    </w:p>
    <w:p>
      <w:pPr>
        <w:pStyle w:val="Normal"/>
        <w:rPr/>
      </w:pPr>
      <w:r>
        <w:rPr/>
        <w:t>3. Termination for Cause. Owner Operator may terminate immediately upon material breach, violation of law, fraud, breach of confidentiality, or failure to meet performance standards.</w:t>
      </w:r>
    </w:p>
    <w:p>
      <w:pPr>
        <w:pStyle w:val="Normal"/>
        <w:rPr/>
      </w:pPr>
      <w:r>
        <w:rPr/>
        <w:t>4. Effect of Termination. Closer receives fees for claims closed and funded prior to termination. All pending leads revert to Owner Operator. Confidentiality obligations survive.</w:t>
      </w:r>
    </w:p>
    <w:p>
      <w:pPr>
        <w:pStyle w:val="Heading2"/>
        <w:rPr/>
      </w:pPr>
      <w:r>
        <w:rPr>
          <w:rFonts w:ascii="Times New Roman" w:hAnsi="Times New Roman"/>
          <w:color w:val="1E3A5F"/>
        </w:rPr>
        <w:t>ARTICLE IX -- INDEMNIFICATION AND LIABILITY</w:t>
      </w:r>
    </w:p>
    <w:p>
      <w:pPr>
        <w:pStyle w:val="Normal"/>
        <w:rPr/>
      </w:pPr>
      <w:r>
        <w:rPr/>
        <w:t>1. Closer Indemnification. Closer shall indemnify and hold harmless Owner Operator from any claims arising from Closer's performance, including violations of law, negligence, or unauthorized actions.</w:t>
      </w:r>
    </w:p>
    <w:p>
      <w:pPr>
        <w:pStyle w:val="Normal"/>
        <w:rPr/>
      </w:pPr>
      <w:r>
        <w:rPr/>
        <w:t>2. Owner Operator Indemnification. Owner Operator shall indemnify Closer against claims arising from Owner Operator's own negligence or willful misconduct.</w:t>
      </w:r>
    </w:p>
    <w:p>
      <w:pPr>
        <w:pStyle w:val="Normal"/>
        <w:rPr/>
      </w:pPr>
      <w:r>
        <w:rPr/>
        <w:t>3. Limitation of Liability. Neither Party's total liability shall exceed total fees paid in the twelve (12) months preceding the claim.</w:t>
      </w:r>
    </w:p>
    <w:p>
      <w:pPr>
        <w:pStyle w:val="Normal"/>
        <w:rPr/>
      </w:pPr>
      <w:r>
        <w:rPr/>
        <w:t>4. Insurance. Closer is encouraged to maintain professional liability insurance with minimum coverage of $500,000 per occurrence.</w:t>
      </w:r>
    </w:p>
    <w:p>
      <w:pPr>
        <w:pStyle w:val="Heading2"/>
        <w:rPr/>
      </w:pPr>
      <w:r>
        <w:rPr>
          <w:rFonts w:ascii="Times New Roman" w:hAnsi="Times New Roman"/>
          <w:color w:val="1E3A5F"/>
        </w:rPr>
        <w:t>ARTICLE X -- DISPUTE RESOLUTION</w:t>
      </w:r>
    </w:p>
    <w:p>
      <w:pPr>
        <w:pStyle w:val="Normal"/>
        <w:rPr/>
      </w:pPr>
      <w:r>
        <w:rPr/>
        <w:t>1. Governing Law. This Agreement shall be governed by the laws of the state in which Owner Operator's business entity is organized.</w:t>
      </w:r>
    </w:p>
    <w:p>
      <w:pPr>
        <w:pStyle w:val="Normal"/>
        <w:rPr/>
      </w:pPr>
      <w:r>
        <w:rPr/>
        <w:t>2. Good Faith Negotiation. The Parties shall attempt to resolve disputes through good faith negotiation for thirty (30) days.</w:t>
      </w:r>
    </w:p>
    <w:p>
      <w:pPr>
        <w:pStyle w:val="Normal"/>
        <w:rPr/>
      </w:pPr>
      <w:r>
        <w:rPr/>
        <w:t>3. Mediation. If negotiation fails, disputes shall be submitted to mediation.</w:t>
      </w:r>
    </w:p>
    <w:p>
      <w:pPr>
        <w:pStyle w:val="Normal"/>
        <w:rPr/>
      </w:pPr>
      <w:r>
        <w:rPr/>
        <w:t>4. Binding Arbitration. If mediation is unsuccessful, disputes shall be resolved through binding arbitration under AAA rules.</w:t>
      </w:r>
    </w:p>
    <w:p>
      <w:pPr>
        <w:pStyle w:val="Heading2"/>
        <w:rPr/>
      </w:pPr>
      <w:r>
        <w:rPr>
          <w:rFonts w:ascii="Times New Roman" w:hAnsi="Times New Roman"/>
          <w:color w:val="1E3A5F"/>
        </w:rPr>
        <w:t>ARTICLE XI -- GENERAL PROVISIONS</w:t>
      </w:r>
    </w:p>
    <w:p>
      <w:pPr>
        <w:pStyle w:val="Normal"/>
        <w:rPr/>
      </w:pPr>
      <w:r>
        <w:rPr/>
        <w:t>1. Entire Agreement. This Agreement constitutes the entire agreement between the Parties and supersedes all prior negotiations.</w:t>
      </w:r>
    </w:p>
    <w:p>
      <w:pPr>
        <w:pStyle w:val="Normal"/>
        <w:rPr/>
      </w:pPr>
      <w:r>
        <w:rPr/>
        <w:t>2. Amendments. No amendment shall be valid unless in writing and signed by both Parties.</w:t>
      </w:r>
    </w:p>
    <w:p>
      <w:pPr>
        <w:pStyle w:val="Normal"/>
        <w:rPr/>
      </w:pPr>
      <w:r>
        <w:rPr/>
        <w:t>3. Severability. If any provision is held invalid, the remaining provisions continue in full force.</w:t>
      </w:r>
    </w:p>
    <w:p>
      <w:pPr>
        <w:pStyle w:val="Normal"/>
        <w:rPr/>
      </w:pPr>
      <w:r>
        <w:rPr/>
        <w:t>4. Waiver. Failure to enforce any provision does not waive future enforcement rights.</w:t>
      </w:r>
    </w:p>
    <w:p>
      <w:pPr>
        <w:pStyle w:val="Normal"/>
        <w:rPr/>
      </w:pPr>
      <w:r>
        <w:rPr/>
        <w:t>5. Assignment. Closer may not assign this Agreement without Owner Operator's prior written consent.</w:t>
      </w:r>
    </w:p>
    <w:p>
      <w:pPr>
        <w:pStyle w:val="Normal"/>
        <w:rPr/>
      </w:pPr>
      <w:r>
        <w:rPr/>
        <w:t>6. Notices. All notices shall be in writing and delivered to the addresses set forth above.</w:t>
      </w:r>
    </w:p>
    <w:p>
      <w:pPr>
        <w:pStyle w:val="Normal"/>
        <w:rPr/>
      </w:pPr>
      <w:r>
        <w:rPr/>
        <w:t>7. Counterparts. This Agreement may be executed in counterparts. Electronic signatures are valid and binding.</w:t>
      </w:r>
    </w:p>
    <w:p>
      <w:pPr>
        <w:pStyle w:val="Normal"/>
        <w:rPr/>
      </w:pPr>
      <w:r>
        <w:rPr/>
        <w:t>8. Platform Terms. Use of the Foreclosure Recovery Inc. platform is subject to separate Terms of Service.</w:t>
      </w:r>
    </w:p>
    <w:p>
      <w:pPr>
        <w:pStyle w:val="Normal"/>
        <w:rPr/>
      </w:pPr>
      <w:r>
        <w:rPr/>
      </w:r>
      <w:r>
        <w:br w:type="page"/>
      </w:r>
    </w:p>
    <w:p>
      <w:pPr>
        <w:pStyle w:val="Normal"/>
        <w:spacing w:before="0" w:after="120"/>
        <w:jc w:val="center"/>
        <w:rPr/>
      </w:pPr>
      <w:r>
        <w:rPr>
          <w:b/>
          <w:color w:val="1E3A5F"/>
          <w:sz w:val="32"/>
        </w:rPr>
        <w:t>SIGNATURE PAGE</w:t>
      </w:r>
    </w:p>
    <w:p>
      <w:pPr>
        <w:pStyle w:val="Normal"/>
        <w:jc w:val="center"/>
        <w:rPr/>
      </w:pPr>
      <w:r>
        <w:rPr>
          <w:color w:val="64748B"/>
          <w:sz w:val="20"/>
        </w:rPr>
        <w:t>Owner Operator -- Independent Closer Services Agreement</w:t>
      </w:r>
    </w:p>
    <w:p>
      <w:pPr>
        <w:pStyle w:val="Normal"/>
        <w:rPr/>
      </w:pPr>
      <w:r>
        <w:rPr/>
        <w:t>IN WITNESS WHEREOF, the Parties have executed this Owner Operator -- Independent Closer Services Agreement as of the date last written below.</w:t>
      </w:r>
    </w:p>
    <w:p>
      <w:pPr>
        <w:pStyle w:val="Normal"/>
        <w:rPr>
          <w:sz w:val="18"/>
          <w:szCs w:val="18"/>
        </w:rPr>
      </w:pPr>
      <w:r>
        <w:rPr>
          <w:b/>
          <w:sz w:val="18"/>
          <w:szCs w:val="18"/>
        </w:rPr>
        <w:t>OWNER OPERATOR:</w:t>
      </w:r>
    </w:p>
    <w:p>
      <w:pPr>
        <w:pStyle w:val="Normal"/>
        <w:rPr>
          <w:sz w:val="18"/>
          <w:szCs w:val="18"/>
        </w:rPr>
      </w:pPr>
      <w:r>
        <w:rPr>
          <w:sz w:val="18"/>
          <w:szCs w:val="18"/>
        </w:rPr>
      </w:r>
    </w:p>
    <w:p>
      <w:pPr>
        <w:pStyle w:val="Normal"/>
        <w:rPr>
          <w:sz w:val="18"/>
          <w:szCs w:val="18"/>
        </w:rPr>
      </w:pPr>
      <w:r>
        <w:rPr>
          <w:b/>
          <w:sz w:val="18"/>
          <w:szCs w:val="18"/>
        </w:rPr>
        <w:t>Business Name:</w:t>
      </w:r>
      <w:r>
        <w:rPr>
          <w:sz w:val="18"/>
          <w:szCs w:val="18"/>
        </w:rPr>
        <w:t xml:space="preserve">  ________________________________________</w:t>
      </w:r>
    </w:p>
    <w:p>
      <w:pPr>
        <w:pStyle w:val="Normal"/>
        <w:rPr>
          <w:sz w:val="18"/>
          <w:szCs w:val="18"/>
        </w:rPr>
      </w:pPr>
      <w:r>
        <w:rPr>
          <w:sz w:val="18"/>
          <w:szCs w:val="18"/>
        </w:rPr>
      </w:r>
    </w:p>
    <w:p>
      <w:pPr>
        <w:pStyle w:val="Normal"/>
        <w:rPr>
          <w:sz w:val="18"/>
          <w:szCs w:val="18"/>
        </w:rPr>
      </w:pPr>
      <w:r>
        <w:rPr>
          <w:sz w:val="18"/>
          <w:szCs w:val="18"/>
        </w:rPr>
        <w:t>Signature: ________________________________________</w:t>
      </w:r>
    </w:p>
    <w:p>
      <w:pPr>
        <w:pStyle w:val="Normal"/>
        <w:rPr>
          <w:sz w:val="18"/>
          <w:szCs w:val="18"/>
        </w:rPr>
      </w:pPr>
      <w:r>
        <w:rPr>
          <w:sz w:val="18"/>
          <w:szCs w:val="18"/>
        </w:rPr>
      </w:r>
    </w:p>
    <w:p>
      <w:pPr>
        <w:pStyle w:val="Normal"/>
        <w:rPr>
          <w:sz w:val="18"/>
          <w:szCs w:val="18"/>
        </w:rPr>
      </w:pPr>
      <w:r>
        <w:rPr>
          <w:b/>
          <w:sz w:val="18"/>
          <w:szCs w:val="18"/>
        </w:rPr>
        <w:t>Printed Name:</w:t>
      </w:r>
      <w:r>
        <w:rPr>
          <w:sz w:val="18"/>
          <w:szCs w:val="18"/>
        </w:rPr>
        <w:t xml:space="preserve">  ________________________________________</w:t>
      </w:r>
    </w:p>
    <w:p>
      <w:pPr>
        <w:pStyle w:val="Normal"/>
        <w:rPr>
          <w:sz w:val="18"/>
          <w:szCs w:val="18"/>
        </w:rPr>
      </w:pPr>
      <w:r>
        <w:rPr>
          <w:sz w:val="18"/>
          <w:szCs w:val="18"/>
        </w:rPr>
      </w:r>
    </w:p>
    <w:p>
      <w:pPr>
        <w:pStyle w:val="Normal"/>
        <w:rPr>
          <w:sz w:val="18"/>
          <w:szCs w:val="18"/>
        </w:rPr>
      </w:pPr>
      <w:r>
        <w:rPr>
          <w:b/>
          <w:sz w:val="18"/>
          <w:szCs w:val="18"/>
        </w:rPr>
        <w:t>Title:</w:t>
      </w:r>
      <w:r>
        <w:rPr>
          <w:sz w:val="18"/>
          <w:szCs w:val="18"/>
        </w:rPr>
        <w:t xml:space="preserve">  ________________________________________</w:t>
      </w:r>
    </w:p>
    <w:p>
      <w:pPr>
        <w:pStyle w:val="Normal"/>
        <w:rPr>
          <w:sz w:val="18"/>
          <w:szCs w:val="18"/>
        </w:rPr>
      </w:pPr>
      <w:r>
        <w:rPr>
          <w:sz w:val="18"/>
          <w:szCs w:val="18"/>
        </w:rPr>
      </w:r>
    </w:p>
    <w:p>
      <w:pPr>
        <w:pStyle w:val="Normal"/>
        <w:rPr>
          <w:sz w:val="18"/>
          <w:szCs w:val="18"/>
        </w:rPr>
      </w:pPr>
      <w:r>
        <w:rPr>
          <w:b/>
          <w:sz w:val="18"/>
          <w:szCs w:val="18"/>
        </w:rPr>
        <w:t>Date:</w:t>
      </w:r>
      <w:r>
        <w:rPr>
          <w:sz w:val="18"/>
          <w:szCs w:val="18"/>
        </w:rPr>
        <w:t xml:space="preserve">  ________________________________________</w:t>
      </w:r>
    </w:p>
    <w:p>
      <w:pPr>
        <w:pStyle w:val="Normal"/>
        <w:rPr>
          <w:sz w:val="18"/>
          <w:szCs w:val="18"/>
        </w:rPr>
      </w:pPr>
      <w:r>
        <w:rPr>
          <w:sz w:val="18"/>
          <w:szCs w:val="18"/>
        </w:rPr>
        <w:t>____________________________________________</w:t>
      </w:r>
      <w:r>
        <w:rPr>
          <w:sz w:val="18"/>
          <w:szCs w:val="18"/>
        </w:rPr>
        <w:t>__________________________________</w:t>
      </w:r>
    </w:p>
    <w:p>
      <w:pPr>
        <w:pStyle w:val="Normal"/>
        <w:rPr>
          <w:sz w:val="18"/>
          <w:szCs w:val="18"/>
        </w:rPr>
      </w:pPr>
      <w:r>
        <w:rPr>
          <w:sz w:val="18"/>
          <w:szCs w:val="18"/>
        </w:rPr>
      </w:r>
    </w:p>
    <w:p>
      <w:pPr>
        <w:pStyle w:val="Normal"/>
        <w:rPr>
          <w:sz w:val="18"/>
          <w:szCs w:val="18"/>
        </w:rPr>
      </w:pPr>
      <w:r>
        <w:rPr>
          <w:b/>
          <w:sz w:val="18"/>
          <w:szCs w:val="18"/>
        </w:rPr>
        <w:t>CLOSER (Independent Contractor):</w:t>
      </w:r>
    </w:p>
    <w:p>
      <w:pPr>
        <w:pStyle w:val="Normal"/>
        <w:rPr>
          <w:sz w:val="18"/>
          <w:szCs w:val="18"/>
        </w:rPr>
      </w:pPr>
      <w:r>
        <w:rPr>
          <w:sz w:val="18"/>
          <w:szCs w:val="18"/>
        </w:rPr>
      </w:r>
    </w:p>
    <w:p>
      <w:pPr>
        <w:pStyle w:val="Normal"/>
        <w:rPr>
          <w:sz w:val="18"/>
          <w:szCs w:val="18"/>
        </w:rPr>
      </w:pPr>
      <w:r>
        <w:rPr>
          <w:b/>
          <w:sz w:val="18"/>
          <w:szCs w:val="18"/>
        </w:rPr>
        <w:t>Full Legal Name:</w:t>
      </w:r>
      <w:r>
        <w:rPr>
          <w:sz w:val="18"/>
          <w:szCs w:val="18"/>
        </w:rPr>
        <w:t xml:space="preserve">  ________________________________________</w:t>
      </w:r>
    </w:p>
    <w:p>
      <w:pPr>
        <w:pStyle w:val="Normal"/>
        <w:rPr>
          <w:sz w:val="18"/>
          <w:szCs w:val="18"/>
        </w:rPr>
      </w:pPr>
      <w:r>
        <w:rPr>
          <w:sz w:val="18"/>
          <w:szCs w:val="18"/>
        </w:rPr>
      </w:r>
    </w:p>
    <w:p>
      <w:pPr>
        <w:pStyle w:val="Normal"/>
        <w:rPr>
          <w:sz w:val="18"/>
          <w:szCs w:val="18"/>
        </w:rPr>
      </w:pPr>
      <w:r>
        <w:rPr>
          <w:sz w:val="18"/>
          <w:szCs w:val="18"/>
        </w:rPr>
        <w:t>Signature: ________________________________________</w:t>
      </w:r>
    </w:p>
    <w:p>
      <w:pPr>
        <w:pStyle w:val="Normal"/>
        <w:rPr>
          <w:sz w:val="18"/>
          <w:szCs w:val="18"/>
        </w:rPr>
      </w:pPr>
      <w:r>
        <w:rPr>
          <w:sz w:val="18"/>
          <w:szCs w:val="18"/>
        </w:rPr>
      </w:r>
    </w:p>
    <w:p>
      <w:pPr>
        <w:pStyle w:val="Normal"/>
        <w:rPr>
          <w:sz w:val="18"/>
          <w:szCs w:val="18"/>
        </w:rPr>
      </w:pPr>
      <w:r>
        <w:rPr>
          <w:b/>
          <w:sz w:val="18"/>
          <w:szCs w:val="18"/>
        </w:rPr>
        <w:t>Business Name (if applicable):</w:t>
      </w:r>
      <w:r>
        <w:rPr>
          <w:sz w:val="18"/>
          <w:szCs w:val="18"/>
        </w:rPr>
        <w:t xml:space="preserve">  ________________________________________</w:t>
      </w:r>
    </w:p>
    <w:p>
      <w:pPr>
        <w:pStyle w:val="Normal"/>
        <w:rPr>
          <w:sz w:val="18"/>
          <w:szCs w:val="18"/>
        </w:rPr>
      </w:pPr>
      <w:r>
        <w:rPr>
          <w:sz w:val="18"/>
          <w:szCs w:val="18"/>
        </w:rPr>
      </w:r>
    </w:p>
    <w:p>
      <w:pPr>
        <w:pStyle w:val="Normal"/>
        <w:rPr>
          <w:sz w:val="18"/>
          <w:szCs w:val="18"/>
        </w:rPr>
      </w:pPr>
      <w:r>
        <w:rPr>
          <w:b/>
          <w:sz w:val="18"/>
          <w:szCs w:val="18"/>
        </w:rPr>
        <w:t>Address:</w:t>
      </w:r>
      <w:r>
        <w:rPr>
          <w:sz w:val="18"/>
          <w:szCs w:val="18"/>
        </w:rPr>
        <w:t xml:space="preserve">  ________________________________________</w:t>
      </w:r>
    </w:p>
    <w:p>
      <w:pPr>
        <w:pStyle w:val="Normal"/>
        <w:rPr>
          <w:sz w:val="18"/>
          <w:szCs w:val="18"/>
        </w:rPr>
      </w:pPr>
      <w:r>
        <w:rPr>
          <w:sz w:val="18"/>
          <w:szCs w:val="18"/>
        </w:rPr>
      </w:r>
    </w:p>
    <w:p>
      <w:pPr>
        <w:pStyle w:val="Normal"/>
        <w:rPr>
          <w:sz w:val="18"/>
          <w:szCs w:val="18"/>
        </w:rPr>
      </w:pPr>
      <w:r>
        <w:rPr>
          <w:b/>
          <w:sz w:val="18"/>
          <w:szCs w:val="18"/>
        </w:rPr>
        <w:t>Date:</w:t>
      </w:r>
      <w:r>
        <w:rPr>
          <w:sz w:val="18"/>
          <w:szCs w:val="18"/>
        </w:rPr>
        <w:t xml:space="preserve">  ________________________________________</w:t>
      </w:r>
    </w:p>
    <w:p>
      <w:pPr>
        <w:pStyle w:val="Normal"/>
        <w:rPr>
          <w:sz w:val="20"/>
          <w:szCs w:val="20"/>
        </w:rPr>
      </w:pPr>
      <w:r>
        <w:rPr>
          <w:sz w:val="20"/>
          <w:szCs w:val="20"/>
        </w:rPr>
      </w:r>
    </w:p>
    <w:p>
      <w:pPr>
        <w:pStyle w:val="Normal"/>
        <w:spacing w:before="0" w:after="120"/>
        <w:jc w:val="center"/>
        <w:rPr/>
      </w:pPr>
      <w:r>
        <w:rPr>
          <w:color w:val="64748B"/>
          <w:sz w:val="18"/>
        </w:rPr>
        <w:t>This agreement is facilitated through the Foreclosure Recovery Inc. Owner Operator Program.</w:t>
        <w:br/>
        <w:t>(888) 545-8007 -- support@usforeclosureleads.com</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73"/>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36" w:before="0" w:after="120"/>
      <w:jc w:val="start"/>
    </w:pPr>
    <w:rPr>
      <w:rFonts w:ascii="Times New Roman" w:hAnsi="Times New Roman"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LibreOffice/25.8.5.2$Windows_X86_64 LibreOffice_project/9c8b85f387cc00a89945a79c9e6239f32e450ac2</Application>
  <AppVersion>15.0000</AppVersion>
  <Pages>7</Pages>
  <Words>1675</Words>
  <Characters>10730</Characters>
  <CharactersWithSpaces>12294</CharactersWithSpaces>
  <Paragraphs>109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2026-03-22T23:31:15Z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