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Find out how to claim surplus funds from a foreclosure.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https://www.nolo.com/legal-encyclopedia/what-happens-to-excess-proceeds-from-a-foreclosure-sale.html</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Bid-Up Price: Think of this as the "starting line" for bidding. It's the minimum amount that the auctioneer will accept to kick off the auction process. Bidders then compete by offering higher prices.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Bid-Down Percent Return: Investors aim to drive the property price down to increase their potential profit margin. They calculate how much they can reduce the price while still achieving their desired return on investment.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Bid-Down Percent Interest: Lenders might be willing to lower the interest rates they charge on loans related to the property. This can make financing more attractive for buyers, potentially leading to a higher selling price for the property.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Bid-Down Percent Ownership: In multi-party bidding scenarios, a bidder might be willing to accept a smaller ownership stake in the property in exchange for other favorable terms, like a lower price or better financing options.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First to Bid: Being the first bidder can set the tone for the auction. It shows others that there's interest in the property and can encourage more competitive bidding.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Sealed Bid: This method adds a layer of confidentiality to the bidding process. Instead of openly bidding against each other, buyers submit their offers privately. This can help prevent bidders from being influenced by others' offers and encourages them to submit their best offer upfront.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Bid-Up Price (No Return of Premium): It's the starting point for bidding at an auction, and there are no extra fees or refunds included.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olo.com/legal-encyclopedia/what-happens-to-excess-proceeds-from-a-foreclosure-s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