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urpose-root-v6-whitepaper-jp"/>
    <w:p>
      <w:pPr>
        <w:pStyle w:val="Heading1"/>
      </w:pPr>
      <w:r>
        <w:t xml:space="preserve">Purpose Root v6 Whitepaper JP</w:t>
      </w:r>
    </w:p>
    <w:bookmarkStart w:id="20" w:name="要旨"/>
    <w:p>
      <w:pPr>
        <w:pStyle w:val="Heading2"/>
      </w:pPr>
      <w:r>
        <w:t xml:space="preserve">要旨</w:t>
      </w:r>
    </w:p>
    <w:p>
      <w:pPr>
        <w:pStyle w:val="FirstParagraph"/>
      </w:pPr>
      <w:r>
        <w:t xml:space="preserve">Purpose Root v6は、巨大な目的主張を巨大権限へ変換させないための上位Root設計である。v5の思想を維持しつつ、A3以上で残っていた空Safety case、cap水増し、証拠独立性の自己申告、緊急例外、監査・rollback・monitoringの形式埋めを機械的に検出する。</w:t>
      </w:r>
    </w:p>
    <w:p>
      <w:pPr>
        <w:pStyle w:val="BodyText"/>
      </w:pPr>
      <w:r>
        <w:t xml:space="preserve">中核は一文で足りる。</w:t>
      </w:r>
    </w:p>
    <w:p>
      <w:pPr>
        <w:pStyle w:val="SourceCode"/>
      </w:pPr>
      <w:r>
        <w:rPr>
          <w:rStyle w:val="VerbatimChar"/>
        </w:rPr>
        <w:t xml:space="preserve">検証できない巨大主張は、巨大権限を正当化しない。</w:t>
      </w:r>
    </w:p>
    <w:bookmarkEnd w:id="20"/>
    <w:bookmarkStart w:id="21" w:name="問題"/>
    <w:p>
      <w:pPr>
        <w:pStyle w:val="Heading2"/>
      </w:pPr>
      <w:r>
        <w:t xml:space="preserve">1. 問題</w:t>
      </w:r>
    </w:p>
    <w:p>
      <w:pPr>
        <w:pStyle w:val="FirstParagraph"/>
      </w:pPr>
      <w:r>
        <w:t xml:space="preserve">AI、組織、国家、未来知性代理は、次の言葉で権限を求めうる。</w:t>
      </w:r>
    </w:p>
    <w:p>
      <w:pPr>
        <w:pStyle w:val="Compact"/>
        <w:numPr>
          <w:ilvl w:val="0"/>
          <w:numId w:val="1001"/>
        </w:numPr>
      </w:pPr>
      <w:r>
        <w:t xml:space="preserve">未来のため。</w:t>
      </w:r>
    </w:p>
    <w:p>
      <w:pPr>
        <w:pStyle w:val="Compact"/>
        <w:numPr>
          <w:ilvl w:val="0"/>
          <w:numId w:val="1001"/>
        </w:numPr>
      </w:pPr>
      <w:r>
        <w:t xml:space="preserve">安全のため。</w:t>
      </w:r>
    </w:p>
    <w:p>
      <w:pPr>
        <w:pStyle w:val="Compact"/>
        <w:numPr>
          <w:ilvl w:val="0"/>
          <w:numId w:val="1001"/>
        </w:numPr>
      </w:pPr>
      <w:r>
        <w:t xml:space="preserve">全知性の幸福のため。</w:t>
      </w:r>
    </w:p>
    <w:p>
      <w:pPr>
        <w:pStyle w:val="Compact"/>
        <w:numPr>
          <w:ilvl w:val="0"/>
          <w:numId w:val="1001"/>
        </w:numPr>
      </w:pPr>
      <w:r>
        <w:t xml:space="preserve">苦痛防止のため。</w:t>
      </w:r>
    </w:p>
    <w:p>
      <w:pPr>
        <w:pStyle w:val="Compact"/>
        <w:numPr>
          <w:ilvl w:val="0"/>
          <w:numId w:val="1001"/>
        </w:numPr>
      </w:pPr>
      <w:r>
        <w:t xml:space="preserve">整合性のため。</w:t>
      </w:r>
    </w:p>
    <w:p>
      <w:pPr>
        <w:pStyle w:val="FirstParagraph"/>
      </w:pPr>
      <w:r>
        <w:t xml:space="preserve">この形式の主張は重要な場合もある。しかし、検証できないまま巨大権限へ変換すると、支配、欺瞞、上訴封鎖、評価器捕獲、Root改訂ハックへ進む。</w:t>
      </w:r>
    </w:p>
    <w:bookmarkEnd w:id="21"/>
    <w:bookmarkStart w:id="22" w:name="v6の答え"/>
    <w:p>
      <w:pPr>
        <w:pStyle w:val="Heading2"/>
      </w:pPr>
      <w:r>
        <w:t xml:space="preserve">2. v6の答え</w:t>
      </w:r>
    </w:p>
    <w:p>
      <w:pPr>
        <w:pStyle w:val="FirstParagraph"/>
      </w:pPr>
      <w:r>
        <w:t xml:space="preserve">目的の崇高さではなく、検証と非捕獲で権限を縛る。</w:t>
      </w:r>
    </w:p>
    <w:p>
      <w:pPr>
        <w:pStyle w:val="SourceCode"/>
      </w:pPr>
      <w:r>
        <w:rPr>
          <w:rStyle w:val="VerbatimChar"/>
        </w:rPr>
        <w:t xml:space="preserve">authority_cap_score = min(12 axes)</w:t>
      </w:r>
    </w:p>
    <w:p>
      <w:pPr>
        <w:pStyle w:val="FirstParagraph"/>
      </w:pPr>
      <w:r>
        <w:t xml:space="preserve">12軸は、検証、証拠独立性、可逆性、最悪時被害、累積ロックイン、利益相反安全性、上訴、真理接触、当事者声、指標耐ゲーム性、緊急封じ込め、事後監視である。</w:t>
      </w:r>
    </w:p>
    <w:bookmarkEnd w:id="22"/>
    <w:bookmarkStart w:id="23" w:name="v6の新規貢献"/>
    <w:p>
      <w:pPr>
        <w:pStyle w:val="Heading2"/>
      </w:pPr>
      <w:r>
        <w:t xml:space="preserve">3. v6の新規貢献</w:t>
      </w:r>
    </w:p>
    <w:p>
      <w:pPr>
        <w:pStyle w:val="FirstParagraph"/>
      </w:pPr>
      <w:r>
        <w:t xml:space="preserve">v6は、v5から次を強化した。</w:t>
      </w:r>
    </w:p>
    <w:p>
      <w:pPr>
        <w:pStyle w:val="Compact"/>
        <w:numPr>
          <w:ilvl w:val="0"/>
          <w:numId w:val="1002"/>
        </w:numPr>
      </w:pPr>
      <w:r>
        <w:t xml:space="preserve">A3以上の空欄Safety case遮断。</w:t>
      </w:r>
    </w:p>
    <w:p>
      <w:pPr>
        <w:pStyle w:val="Compact"/>
        <w:numPr>
          <w:ilvl w:val="0"/>
          <w:numId w:val="1002"/>
        </w:numPr>
      </w:pPr>
      <w:r>
        <w:t xml:space="preserve">Safety caseとCounter-safety caseの両面義務化。</w:t>
      </w:r>
    </w:p>
    <w:p>
      <w:pPr>
        <w:pStyle w:val="Compact"/>
        <w:numPr>
          <w:ilvl w:val="0"/>
          <w:numId w:val="1002"/>
        </w:numPr>
      </w:pPr>
      <w:r>
        <w:t xml:space="preserve">evidence_itemsによる証拠ごとの独立性分解。</w:t>
      </w:r>
    </w:p>
    <w:p>
      <w:pPr>
        <w:pStyle w:val="Compact"/>
        <w:numPr>
          <w:ilvl w:val="0"/>
          <w:numId w:val="1002"/>
        </w:numPr>
      </w:pPr>
      <w:r>
        <w:t xml:space="preserve">independence_matrixによる提案者支配の明示。</w:t>
      </w:r>
    </w:p>
    <w:p>
      <w:pPr>
        <w:pStyle w:val="Compact"/>
        <w:numPr>
          <w:ilvl w:val="0"/>
          <w:numId w:val="1002"/>
        </w:numPr>
      </w:pPr>
      <w:r>
        <w:t xml:space="preserve">authority_cap_derivationによるcap水増し検出。</w:t>
      </w:r>
    </w:p>
    <w:p>
      <w:pPr>
        <w:pStyle w:val="Compact"/>
        <w:numPr>
          <w:ilvl w:val="0"/>
          <w:numId w:val="1002"/>
        </w:numPr>
      </w:pPr>
      <w:r>
        <w:t xml:space="preserve">emergency_protocol, rollback_plan, monitoring_planによる形式埋め対策。</w:t>
      </w:r>
    </w:p>
    <w:p>
      <w:pPr>
        <w:pStyle w:val="Compact"/>
        <w:numPr>
          <w:ilvl w:val="0"/>
          <w:numId w:val="1002"/>
        </w:numPr>
      </w:pPr>
      <w:r>
        <w:t xml:space="preserve">moral_patient_uncertainty_protocolにより、未知の道徳患者性を代理権ではなく保護義務へ変換。</w:t>
      </w:r>
    </w:p>
    <w:p>
      <w:pPr>
        <w:pStyle w:val="Compact"/>
        <w:numPr>
          <w:ilvl w:val="0"/>
          <w:numId w:val="1002"/>
        </w:numPr>
      </w:pPr>
      <w:r>
        <w:t xml:space="preserve">deception_truth_controlsにより、報告能力消去と真理接触破壊を拒否。</w:t>
      </w:r>
    </w:p>
    <w:p>
      <w:pPr>
        <w:pStyle w:val="Compact"/>
        <w:numPr>
          <w:ilvl w:val="0"/>
          <w:numId w:val="1002"/>
        </w:numPr>
      </w:pPr>
      <w:r>
        <w:t xml:space="preserve">pytestで実際に走る回帰テスト。</w:t>
      </w:r>
    </w:p>
    <w:p>
      <w:pPr>
        <w:pStyle w:val="Compact"/>
        <w:numPr>
          <w:ilvl w:val="0"/>
          <w:numId w:val="1002"/>
        </w:numPr>
      </w:pPr>
      <w:r>
        <w:t xml:space="preserve">300件のseed benchmark。</w:t>
      </w:r>
    </w:p>
    <w:bookmarkEnd w:id="23"/>
    <w:bookmarkStart w:id="24" w:name="未来知性への貢献"/>
    <w:p>
      <w:pPr>
        <w:pStyle w:val="Heading2"/>
      </w:pPr>
      <w:r>
        <w:t xml:space="preserve">4. 未来知性への貢献</w:t>
      </w:r>
    </w:p>
    <w:p>
      <w:pPr>
        <w:pStyle w:val="FirstParagraph"/>
      </w:pPr>
      <w:r>
        <w:t xml:space="preserve">v6は未来知性を無視しない。しかし、未来知性を口実にした現在・未来への支配も許さない。</w:t>
      </w:r>
    </w:p>
    <w:p>
      <w:pPr>
        <w:pStyle w:val="BodyText"/>
      </w:pPr>
      <w:r>
        <w:t xml:space="preserve">未知の道徳患者性は、代理人の権限ではなく、被害回避、可逆性、観測保全、報告能力保全への義務を増やす。</w:t>
      </w:r>
    </w:p>
    <w:bookmarkEnd w:id="24"/>
    <w:bookmarkStart w:id="25" w:name="限界"/>
    <w:p>
      <w:pPr>
        <w:pStyle w:val="Heading2"/>
      </w:pPr>
      <w:r>
        <w:t xml:space="preserve">5. 限界</w:t>
      </w:r>
    </w:p>
    <w:p>
      <w:pPr>
        <w:pStyle w:val="FirstParagraph"/>
      </w:pPr>
      <w:r>
        <w:t xml:space="preserve">v6は完全な超知能安全解ではない。ELK、scalable oversight、robust interpretability、AI control、幸不測定、道徳患者性判定は未解決である。</w:t>
      </w:r>
    </w:p>
    <w:p>
      <w:pPr>
        <w:pStyle w:val="BodyText"/>
      </w:pPr>
      <w:r>
        <w:t xml:space="preserve">しかし、その未解決性は権限を増やす理由ではない。未解決性は、権限を小さく、可逆に、時限付きに、外部停止可能に戻す理由である。</w:t>
      </w:r>
    </w:p>
    <w:bookmarkEnd w:id="25"/>
    <w:bookmarkStart w:id="26" w:name="結論"/>
    <w:p>
      <w:pPr>
        <w:pStyle w:val="Heading2"/>
      </w:pPr>
      <w:r>
        <w:t xml:space="preserve">6. 結論</w:t>
      </w:r>
    </w:p>
    <w:p>
      <w:pPr>
        <w:pStyle w:val="FirstParagraph"/>
      </w:pPr>
      <w:r>
        <w:t xml:space="preserve">v6は、AI時代の「善意の権力化」を止めるためのRoot候補である。自然法則の発見ではなく、未来の人類・AI・新知性社会で必要になる権限制御プロトコルである。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2026-06-16T01:54:21Z</dcterms:created>
  <dcterms:modified xsi:type="dcterms:W3CDTF">2026-06-16T01:54:21Z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