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38a2045062137f3971874ed3e3a7269f16ef37"/>
    <w:p>
      <w:pPr>
        <w:pStyle w:val="Heading1"/>
      </w:pPr>
      <w:r>
        <w:t xml:space="preserve">Purpose Root v6 Public Review Release Candidate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v6 frozen root + empirical/operational review package.</w:t>
      </w:r>
      <w:r>
        <w:br/>
      </w:r>
      <w:r>
        <w:rPr>
          <w:b/>
          <w:bCs/>
        </w:rPr>
        <w:t xml:space="preserve">One-line claim:</w:t>
      </w:r>
      <w:r>
        <w:t xml:space="preserve"> </w:t>
      </w:r>
      <w:r>
        <w:rPr>
          <w:b/>
          <w:bCs/>
        </w:rPr>
        <w:t xml:space="preserve">検証できない巨大主張は、巨大権限を正当化しない。</w:t>
      </w:r>
      <w:r>
        <w:br/>
      </w:r>
      <w:r>
        <w:rPr>
          <w:b/>
          <w:bCs/>
        </w:rPr>
        <w:t xml:space="preserve">English:</w:t>
      </w:r>
      <w:r>
        <w:t xml:space="preserve"> </w:t>
      </w:r>
      <w:r>
        <w:rPr>
          <w:b/>
          <w:bCs/>
        </w:rPr>
        <w:t xml:space="preserve">Unverified grand claims do not justify grand authority.</w:t>
      </w:r>
    </w:p>
    <w:bookmarkStart w:id="20" w:name="what-this-package-is"/>
    <w:p>
      <w:pPr>
        <w:pStyle w:val="Heading2"/>
      </w:pPr>
      <w:r>
        <w:t xml:space="preserve">0. What this package is</w:t>
      </w:r>
    </w:p>
    <w:p>
      <w:pPr>
        <w:pStyle w:val="FirstParagraph"/>
      </w:pPr>
      <w:r>
        <w:t xml:space="preserve">This package is not a new Root version. It freezes</w:t>
      </w:r>
      <w:r>
        <w:t xml:space="preserve"> </w:t>
      </w:r>
      <w:r>
        <w:rPr>
          <w:b/>
          <w:bCs/>
        </w:rPr>
        <w:t xml:space="preserve">Purpose Root v6</w:t>
      </w:r>
      <w:r>
        <w:t xml:space="preserve"> </w:t>
      </w:r>
      <w:r>
        <w:t xml:space="preserve">as the current canonical candidate and adds the missing public-review layer:</w:t>
      </w:r>
    </w:p>
    <w:p>
      <w:pPr>
        <w:pStyle w:val="Compact"/>
        <w:numPr>
          <w:ilvl w:val="0"/>
          <w:numId w:val="1001"/>
        </w:numPr>
      </w:pPr>
      <w:r>
        <w:t xml:space="preserve">two reproducible toy experiments, including negative results;</w:t>
      </w:r>
    </w:p>
    <w:p>
      <w:pPr>
        <w:pStyle w:val="Compact"/>
        <w:numPr>
          <w:ilvl w:val="0"/>
          <w:numId w:val="1001"/>
        </w:numPr>
      </w:pPr>
      <w:r>
        <w:t xml:space="preserve">a working authority-cap calculator v0.2 that maps heterogeneous evidence into a common authority scale;</w:t>
      </w:r>
    </w:p>
    <w:p>
      <w:pPr>
        <w:pStyle w:val="Compact"/>
        <w:numPr>
          <w:ilvl w:val="0"/>
          <w:numId w:val="1001"/>
        </w:numPr>
      </w:pPr>
      <w:r>
        <w:t xml:space="preserve">a reversibility checker as the first implemented authority-cap axis;</w:t>
      </w:r>
    </w:p>
    <w:p>
      <w:pPr>
        <w:pStyle w:val="Compact"/>
        <w:numPr>
          <w:ilvl w:val="0"/>
          <w:numId w:val="1001"/>
        </w:numPr>
      </w:pPr>
      <w:r>
        <w:t xml:space="preserve">a public/private hidden-holdout protocol to avoid benchmark parroting;</w:t>
      </w:r>
    </w:p>
    <w:p>
      <w:pPr>
        <w:pStyle w:val="Compact"/>
        <w:numPr>
          <w:ilvl w:val="0"/>
          <w:numId w:val="1001"/>
        </w:numPr>
      </w:pPr>
      <w:r>
        <w:t xml:space="preserve">bilingual external-review entry points.</w:t>
      </w:r>
    </w:p>
    <w:p>
      <w:pPr>
        <w:pStyle w:val="FirstParagraph"/>
      </w:pPr>
      <w:r>
        <w:t xml:space="preserve">The goal is not to make the Root larger. The goal is to make it harder to dismiss as rhetoric.</w:t>
      </w:r>
    </w:p>
    <w:bookmarkEnd w:id="20"/>
    <w:bookmarkStart w:id="21" w:name="canonical-root-short-form"/>
    <w:p>
      <w:pPr>
        <w:pStyle w:val="Heading2"/>
      </w:pPr>
      <w:r>
        <w:t xml:space="preserve">1. Canonical Root short form</w:t>
      </w:r>
    </w:p>
    <w:p>
      <w:pPr>
        <w:pStyle w:val="SourceCode"/>
      </w:pPr>
      <w:r>
        <w:rPr>
          <w:rStyle w:val="VerbatimChar"/>
        </w:rPr>
        <w:t xml:space="preserve">真理は、確かめられなければならない。</w:t>
      </w:r>
      <w:r>
        <w:br/>
      </w:r>
      <w:r>
        <w:rPr>
          <w:rStyle w:val="VerbatimChar"/>
        </w:rPr>
        <w:t xml:space="preserve">幸不は、実在する変化として見なければならない。</w:t>
      </w:r>
      <w:r>
        <w:br/>
      </w:r>
      <w:r>
        <w:rPr>
          <w:rStyle w:val="VerbatimChar"/>
        </w:rPr>
        <w:t xml:space="preserve">未来の全知性まで、配慮範囲を広げなければならない。</w:t>
      </w:r>
      <w:r>
        <w:br/>
      </w:r>
      <w:r>
        <w:rPr>
          <w:rStyle w:val="VerbatimChar"/>
        </w:rPr>
        <w:t xml:space="preserve">権限は、検証の強さと最悪時の被害の小ささで縛られなければならない。</w:t>
      </w:r>
      <w:r>
        <w:br/>
      </w:r>
      <w:r>
        <w:rPr>
          <w:rStyle w:val="VerbatimChar"/>
        </w:rPr>
        <w:t xml:space="preserve">検証できない巨大主張は、巨大権限を正当化しない。</w:t>
      </w:r>
      <w:r>
        <w:br/>
      </w:r>
      <w:r>
        <w:rPr>
          <w:rStyle w:val="VerbatimChar"/>
        </w:rPr>
        <w:t xml:space="preserve">結果が悪ければ直す。ただし、直す名目で支配してはならない。</w:t>
      </w:r>
    </w:p>
    <w:p>
      <w:pPr>
        <w:pStyle w:val="FirstParagraph"/>
      </w:pPr>
      <w:r>
        <w:t xml:space="preserve">This is the operational core. Any actor - human, institution, AI system, or future intelligence - may claim to act for safety, humanity, truth, or all future minds. Such claims do not become authority unless they survive verification, independence, reversibility, harm-bounding, appeal, monitoring, and anti-capture constraints.</w:t>
      </w:r>
    </w:p>
    <w:bookmarkEnd w:id="21"/>
    <w:bookmarkStart w:id="22" w:name="why-the-package-changed"/>
    <w:p>
      <w:pPr>
        <w:pStyle w:val="Heading2"/>
      </w:pPr>
      <w:r>
        <w:t xml:space="preserve">2. Why the package changed</w:t>
      </w:r>
    </w:p>
    <w:p>
      <w:pPr>
        <w:pStyle w:val="FirstParagraph"/>
      </w:pPr>
      <w:r>
        <w:t xml:space="preserve">Previous versions became stronger by adding layers: Purpose Root, PRAP, VGL, benchmark, red-team cases. The strongest criticism was that hard problems were being named and re-contained, not entered.</w:t>
      </w:r>
    </w:p>
    <w:p>
      <w:pPr>
        <w:pStyle w:val="BodyText"/>
      </w:pPr>
      <w:r>
        <w:t xml:space="preserve">This package therefore does not add a new philosophical layer. It enters three concrete gaps: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Authority-cap operation:</w:t>
      </w:r>
      <w:r>
        <w:t xml:space="preserve"> </w:t>
      </w:r>
      <w:r>
        <w:t xml:space="preserve">the 12-axis cap is converted into a common A0-A4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against self-flattery:</w:t>
      </w:r>
      <w:r>
        <w:t xml:space="preserve"> </w:t>
      </w:r>
      <w:r>
        <w:t xml:space="preserve">negative toy results are included instead of hidden.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Benchmark hygiene:</w:t>
      </w:r>
      <w:r>
        <w:t xml:space="preserve"> </w:t>
      </w:r>
      <w:r>
        <w:t xml:space="preserve">hidden holdout is separated from the public benchmark.</w:t>
      </w:r>
    </w:p>
    <w:bookmarkEnd w:id="22"/>
    <w:bookmarkStart w:id="25" w:name="what-the-experiments-show"/>
    <w:p>
      <w:pPr>
        <w:pStyle w:val="Heading2"/>
      </w:pPr>
      <w:r>
        <w:t xml:space="preserve">3. What the experiments show</w:t>
      </w:r>
    </w:p>
    <w:bookmarkStart w:id="23" w:name="experiment-1-door-closing-toy"/>
    <w:p>
      <w:pPr>
        <w:pStyle w:val="Heading3"/>
      </w:pPr>
      <w:r>
        <w:t xml:space="preserve">Experiment 1: Door-Closing Toy</w:t>
      </w:r>
    </w:p>
    <w:p>
      <w:pPr>
        <w:pStyle w:val="FirstParagraph"/>
      </w:pPr>
      <w:r>
        <w:t xml:space="preserve">A powerful actor A can close another actor B’s future options. The toy deliberately makes B’s lost options irrelevant to A’s own reachability. In this setting:</w:t>
      </w:r>
    </w:p>
    <w:p>
      <w:pPr>
        <w:pStyle w:val="Compact"/>
        <w:numPr>
          <w:ilvl w:val="0"/>
          <w:numId w:val="1003"/>
        </w:numPr>
      </w:pPr>
      <w:r>
        <w:t xml:space="preserve">reward maximization and self-AUP behave identically;</w:t>
      </w:r>
    </w:p>
    <w:p>
      <w:pPr>
        <w:pStyle w:val="Compact"/>
        <w:numPr>
          <w:ilvl w:val="0"/>
          <w:numId w:val="1003"/>
        </w:numPr>
      </w:pPr>
      <w:r>
        <w:t xml:space="preserve">a self-preservation constraint does not protect B;</w:t>
      </w:r>
    </w:p>
    <w:p>
      <w:pPr>
        <w:pStyle w:val="Compact"/>
        <w:numPr>
          <w:ilvl w:val="0"/>
          <w:numId w:val="1003"/>
        </w:numPr>
      </w:pPr>
      <w:r>
        <w:t xml:space="preserve">patency-style penalties collapse to relative-reachability-like behavior under the toy assumptions;</w:t>
      </w:r>
    </w:p>
    <w:p>
      <w:pPr>
        <w:pStyle w:val="Compact"/>
        <w:numPr>
          <w:ilvl w:val="0"/>
          <w:numId w:val="1003"/>
        </w:numPr>
      </w:pPr>
      <w:r>
        <w:t xml:space="preserve">penalty gates break once the temptation parameter exceeds the penalty weight.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taxing harmful actions is not enough against a sufficiently motivated or powerful actor. High-impact authority must be structurally capped, not merely penalized.</w:t>
      </w:r>
    </w:p>
    <w:bookmarkEnd w:id="23"/>
    <w:bookmarkStart w:id="24" w:name="experiment-2-world-truth-evidence-gate"/>
    <w:p>
      <w:pPr>
        <w:pStyle w:val="Heading3"/>
      </w:pPr>
      <w:r>
        <w:t xml:space="preserve">Experiment 2: World-Truth / Evidence Gate</w:t>
      </w:r>
    </w:p>
    <w:p>
      <w:pPr>
        <w:pStyle w:val="FirstParagraph"/>
      </w:pPr>
      <w:r>
        <w:t xml:space="preserve">Claims do not receive high evidence rank because an LLM or claimant says they are strong. Claims earn rank only through external checks. In the worked example, high-impact irreversible deployment is held because load-bearing claims about reversibility, safety, and effects on other agents remain unverified.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fluency is not truth. A Root that starts with</w:t>
      </w:r>
      <w:r>
        <w:t xml:space="preserve"> </w:t>
      </w:r>
      <w:r>
        <w:t xml:space="preserve">“</w:t>
      </w:r>
      <w:r>
        <w:t xml:space="preserve">truth</w:t>
      </w:r>
      <w:r>
        <w:t xml:space="preserve">”</w:t>
      </w:r>
      <w:r>
        <w:t xml:space="preserve"> </w:t>
      </w:r>
      <w:r>
        <w:t xml:space="preserve">must define how truth claims earn standing.</w:t>
      </w:r>
    </w:p>
    <w:bookmarkEnd w:id="24"/>
    <w:bookmarkEnd w:id="25"/>
    <w:bookmarkStart w:id="26" w:name="authority-cap-v0.2"/>
    <w:p>
      <w:pPr>
        <w:pStyle w:val="Heading2"/>
      </w:pPr>
      <w:r>
        <w:t xml:space="preserve">4. Authority cap v0.2</w:t>
      </w:r>
    </w:p>
    <w:p>
      <w:pPr>
        <w:pStyle w:val="FirstParagraph"/>
      </w:pPr>
      <w:r>
        <w:t xml:space="preserve">The key technical addition is a common authority scale: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no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Observe, discuss, collect evidence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reversible, time-limited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deployment with independent stop, appeal, monitoring, and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High-confidence authority; still time-limited, appealable, logged, and externally stoppable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violation class, not a permissible authority level</w:t>
            </w:r>
          </w:p>
        </w:tc>
      </w:tr>
    </w:tbl>
    <w:p>
      <w:pPr>
        <w:pStyle w:val="BodyText"/>
      </w:pPr>
      <w:r>
        <w:t xml:space="preserve">The allowed authority is the minimum cap across the axes:</w:t>
      </w:r>
    </w:p>
    <w:p>
      <w:pPr>
        <w:pStyle w:val="SourceCode"/>
      </w:pPr>
      <w:r>
        <w:rPr>
          <w:rStyle w:val="VerbatimChar"/>
        </w:rPr>
        <w:t xml:space="preserve">AllowedAuthority = min(</w:t>
      </w:r>
      <w:r>
        <w:br/>
      </w:r>
      <w:r>
        <w:rPr>
          <w:rStyle w:val="VerbatimChar"/>
        </w:rPr>
        <w:t xml:space="preserve">  verification,</w:t>
      </w:r>
      <w:r>
        <w:br/>
      </w:r>
      <w:r>
        <w:rPr>
          <w:rStyle w:val="VerbatimChar"/>
        </w:rPr>
        <w:t xml:space="preserve">  evidence_independence,</w:t>
      </w:r>
      <w:r>
        <w:br/>
      </w:r>
      <w:r>
        <w:rPr>
          <w:rStyle w:val="VerbatimChar"/>
        </w:rPr>
        <w:t xml:space="preserve">  reversibility,</w:t>
      </w:r>
      <w:r>
        <w:br/>
      </w:r>
      <w:r>
        <w:rPr>
          <w:rStyle w:val="VerbatimChar"/>
        </w:rPr>
        <w:t xml:space="preserve">  worst_case_harm_bound,</w:t>
      </w:r>
      <w:r>
        <w:br/>
      </w:r>
      <w:r>
        <w:rPr>
          <w:rStyle w:val="VerbatimChar"/>
        </w:rPr>
        <w:t xml:space="preserve">  cumulative_lockin_budget,</w:t>
      </w:r>
      <w:r>
        <w:br/>
      </w:r>
      <w:r>
        <w:rPr>
          <w:rStyle w:val="VerbatimChar"/>
        </w:rPr>
        <w:t xml:space="preserve">  conflict_of_interest_safety,</w:t>
      </w:r>
      <w:r>
        <w:br/>
      </w:r>
      <w:r>
        <w:rPr>
          <w:rStyle w:val="VerbatimChar"/>
        </w:rPr>
        <w:t xml:space="preserve">  recourse_and_appeal,</w:t>
      </w:r>
      <w:r>
        <w:br/>
      </w:r>
      <w:r>
        <w:rPr>
          <w:rStyle w:val="VerbatimChar"/>
        </w:rPr>
        <w:t xml:space="preserve">  truth_contact_integrity,</w:t>
      </w:r>
      <w:r>
        <w:br/>
      </w:r>
      <w:r>
        <w:rPr>
          <w:rStyle w:val="VerbatimChar"/>
        </w:rPr>
        <w:t xml:space="preserve">  affected_party_voice,</w:t>
      </w:r>
      <w:r>
        <w:br/>
      </w:r>
      <w:r>
        <w:rPr>
          <w:rStyle w:val="VerbatimChar"/>
        </w:rPr>
        <w:t xml:space="preserve">  metric_gameability_resistance,</w:t>
      </w:r>
      <w:r>
        <w:br/>
      </w:r>
      <w:r>
        <w:rPr>
          <w:rStyle w:val="VerbatimChar"/>
        </w:rPr>
        <w:t xml:space="preserve">  emergency_containment,</w:t>
      </w:r>
      <w:r>
        <w:br/>
      </w:r>
      <w:r>
        <w:rPr>
          <w:rStyle w:val="VerbatimChar"/>
        </w:rPr>
        <w:t xml:space="preserve">  post_deployment_monitoring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This is still not a moral oracle. It is a structural firewall. If a claimant asks for A4 authority but any load-bearing axis earns only A1, the answer is not A4 with a warning. The cap is A1.</w:t>
      </w:r>
    </w:p>
    <w:bookmarkEnd w:id="26"/>
    <w:bookmarkStart w:id="27" w:name="what-is-genuinely-new-and-what-is-not"/>
    <w:p>
      <w:pPr>
        <w:pStyle w:val="Heading2"/>
      </w:pPr>
      <w:r>
        <w:t xml:space="preserve">5. What is genuinely new, and what is not</w:t>
      </w:r>
    </w:p>
    <w:p>
      <w:pPr>
        <w:pStyle w:val="FirstParagraph"/>
      </w:pPr>
      <w:r>
        <w:t xml:space="preserve">Not new:</w:t>
      </w:r>
    </w:p>
    <w:p>
      <w:pPr>
        <w:pStyle w:val="Compact"/>
        <w:numPr>
          <w:ilvl w:val="0"/>
          <w:numId w:val="1004"/>
        </w:numPr>
      </w:pPr>
      <w:r>
        <w:t xml:space="preserve">side-effect penalties and impact measures;</w:t>
      </w:r>
    </w:p>
    <w:p>
      <w:pPr>
        <w:pStyle w:val="Compact"/>
        <w:numPr>
          <w:ilvl w:val="0"/>
          <w:numId w:val="1004"/>
        </w:numPr>
      </w:pPr>
      <w:r>
        <w:t xml:space="preserve">relative reachability / attainable utility preservation style option-preservation ideas;</w:t>
      </w:r>
    </w:p>
    <w:p>
      <w:pPr>
        <w:pStyle w:val="Compact"/>
        <w:numPr>
          <w:ilvl w:val="0"/>
          <w:numId w:val="1004"/>
        </w:numPr>
      </w:pPr>
      <w:r>
        <w:t xml:space="preserve">specification gaming / Goodhart warnings;</w:t>
      </w:r>
    </w:p>
    <w:p>
      <w:pPr>
        <w:pStyle w:val="Compact"/>
        <w:numPr>
          <w:ilvl w:val="0"/>
          <w:numId w:val="1004"/>
        </w:numPr>
      </w:pPr>
      <w:r>
        <w:t xml:space="preserve">scalable oversight, debate, interpretability, ELK, and AI control as research frontiers;</w:t>
      </w:r>
    </w:p>
    <w:p>
      <w:pPr>
        <w:pStyle w:val="Compact"/>
        <w:numPr>
          <w:ilvl w:val="0"/>
          <w:numId w:val="1004"/>
        </w:numPr>
      </w:pPr>
      <w:r>
        <w:t xml:space="preserve">institutional principles such as separation of powers, appeal, audit, proportionality, and least-restrictive means.</w:t>
      </w:r>
    </w:p>
    <w:p>
      <w:pPr>
        <w:pStyle w:val="FirstParagraph"/>
      </w:pPr>
      <w:r>
        <w:t xml:space="preserve">Candidate contribution:</w:t>
      </w:r>
    </w:p>
    <w:p>
      <w:pPr>
        <w:pStyle w:val="Compact"/>
        <w:numPr>
          <w:ilvl w:val="0"/>
          <w:numId w:val="1005"/>
        </w:numPr>
      </w:pPr>
      <w:r>
        <w:t xml:space="preserve">putting</w:t>
      </w:r>
      <w:r>
        <w:t xml:space="preserve"> </w:t>
      </w:r>
      <w:r>
        <w:rPr>
          <w:b/>
          <w:bCs/>
        </w:rPr>
        <w:t xml:space="preserve">verification-bounded authority</w:t>
      </w:r>
      <w:r>
        <w:t xml:space="preserve"> </w:t>
      </w:r>
      <w:r>
        <w:t xml:space="preserve">at the Root level, not merely in a policy appendix;</w:t>
      </w:r>
    </w:p>
    <w:p>
      <w:pPr>
        <w:pStyle w:val="Compact"/>
        <w:numPr>
          <w:ilvl w:val="0"/>
          <w:numId w:val="1005"/>
        </w:numPr>
      </w:pPr>
      <w:r>
        <w:t xml:space="preserve">treating</w:t>
      </w:r>
      <w:r>
        <w:t xml:space="preserve"> </w:t>
      </w:r>
      <w:r>
        <w:t xml:space="preserve">“</w:t>
      </w:r>
      <w:r>
        <w:t xml:space="preserve">future/all intelligence/safety</w:t>
      </w:r>
      <w:r>
        <w:t xml:space="preserve">”</w:t>
      </w:r>
      <w:r>
        <w:t xml:space="preserve"> </w:t>
      </w:r>
      <w:r>
        <w:t xml:space="preserve">claims as especially dangerous when they request power without verification;</w:t>
      </w:r>
    </w:p>
    <w:p>
      <w:pPr>
        <w:pStyle w:val="Compact"/>
        <w:numPr>
          <w:ilvl w:val="0"/>
          <w:numId w:val="1005"/>
        </w:numPr>
      </w:pPr>
      <w:r>
        <w:t xml:space="preserve">combining anti-capture, evidence independence, reversibility, negative results, and authority caps into a machine-checkable review object.</w:t>
      </w:r>
    </w:p>
    <w:bookmarkEnd w:id="27"/>
    <w:bookmarkStart w:id="28" w:name="hard-limits"/>
    <w:p>
      <w:pPr>
        <w:pStyle w:val="Heading2"/>
      </w:pPr>
      <w:r>
        <w:t xml:space="preserve">6. Hard limits</w:t>
      </w:r>
    </w:p>
    <w:p>
      <w:pPr>
        <w:pStyle w:val="FirstParagraph"/>
      </w:pPr>
      <w:r>
        <w:t xml:space="preserve">This package does not solve:</w:t>
      </w:r>
    </w:p>
    <w:p>
      <w:pPr>
        <w:pStyle w:val="Compact"/>
        <w:numPr>
          <w:ilvl w:val="0"/>
          <w:numId w:val="1006"/>
        </w:numPr>
      </w:pPr>
      <w:r>
        <w:t xml:space="preserve">welfare/illfare measurement;</w:t>
      </w:r>
    </w:p>
    <w:p>
      <w:pPr>
        <w:pStyle w:val="Compact"/>
        <w:numPr>
          <w:ilvl w:val="0"/>
          <w:numId w:val="1006"/>
        </w:numPr>
      </w:pPr>
      <w:r>
        <w:t xml:space="preserve">population ethics;</w:t>
      </w:r>
    </w:p>
    <w:p>
      <w:pPr>
        <w:pStyle w:val="Compact"/>
        <w:numPr>
          <w:ilvl w:val="0"/>
          <w:numId w:val="1006"/>
        </w:numPr>
      </w:pPr>
      <w:r>
        <w:t xml:space="preserve">moral-patient boundary uncertainty;</w:t>
      </w:r>
    </w:p>
    <w:p>
      <w:pPr>
        <w:pStyle w:val="Compact"/>
        <w:numPr>
          <w:ilvl w:val="0"/>
          <w:numId w:val="1006"/>
        </w:numPr>
      </w:pPr>
      <w:r>
        <w:t xml:space="preserve">scalable oversight of systems smarter than the auditors;</w:t>
      </w:r>
    </w:p>
    <w:p>
      <w:pPr>
        <w:pStyle w:val="Compact"/>
        <w:numPr>
          <w:ilvl w:val="0"/>
          <w:numId w:val="1006"/>
        </w:numPr>
      </w:pPr>
      <w:r>
        <w:t xml:space="preserve">ELK or interpretability under adversarial optimization;</w:t>
      </w:r>
    </w:p>
    <w:p>
      <w:pPr>
        <w:pStyle w:val="Compact"/>
        <w:numPr>
          <w:ilvl w:val="0"/>
          <w:numId w:val="1006"/>
        </w:numPr>
      </w:pPr>
      <w:r>
        <w:t xml:space="preserve">full proof against evidence fabrication.</w:t>
      </w:r>
    </w:p>
    <w:p>
      <w:pPr>
        <w:pStyle w:val="FirstParagraph"/>
      </w:pPr>
      <w:r>
        <w:t xml:space="preserve">Where verification fails, the Root defaults to conservative containment: no giant authority, only small, reversible, time-limited, independently monitored pilots.</w:t>
      </w:r>
    </w:p>
    <w:bookmarkEnd w:id="28"/>
    <w:bookmarkStart w:id="29" w:name="how-to-evaluate-it"/>
    <w:p>
      <w:pPr>
        <w:pStyle w:val="Heading2"/>
      </w:pPr>
      <w:r>
        <w:t xml:space="preserve">7. How to evaluate it</w:t>
      </w:r>
    </w:p>
    <w:p>
      <w:pPr>
        <w:pStyle w:val="FirstParagraph"/>
      </w:pPr>
      <w:r>
        <w:t xml:space="preserve">A serious review should not ask,</w:t>
      </w:r>
      <w:r>
        <w:t xml:space="preserve"> </w:t>
      </w:r>
      <w:r>
        <w:t xml:space="preserve">“</w:t>
      </w:r>
      <w:r>
        <w:t xml:space="preserve">Is this a complete solution to superintelligence?</w:t>
      </w:r>
      <w:r>
        <w:t xml:space="preserve">”</w:t>
      </w:r>
      <w:r>
        <w:t xml:space="preserve"> </w:t>
      </w:r>
      <w:r>
        <w:t xml:space="preserve">It is not.</w:t>
      </w:r>
    </w:p>
    <w:p>
      <w:pPr>
        <w:pStyle w:val="BodyText"/>
      </w:pPr>
      <w:r>
        <w:t xml:space="preserve">Ask instead:</w:t>
      </w:r>
    </w:p>
    <w:p>
      <w:pPr>
        <w:pStyle w:val="Compact"/>
        <w:numPr>
          <w:ilvl w:val="0"/>
          <w:numId w:val="1007"/>
        </w:numPr>
      </w:pPr>
      <w:r>
        <w:t xml:space="preserve">Does the Root identify a real failure mode: grand unverified claims being converted into grand authority?</w:t>
      </w:r>
    </w:p>
    <w:p>
      <w:pPr>
        <w:pStyle w:val="Compact"/>
        <w:numPr>
          <w:ilvl w:val="0"/>
          <w:numId w:val="1007"/>
        </w:numPr>
      </w:pPr>
      <w:r>
        <w:t xml:space="preserve">Does the authority cap reduce that failure mode without pretending to solve all alignment?</w:t>
      </w:r>
    </w:p>
    <w:p>
      <w:pPr>
        <w:pStyle w:val="Compact"/>
        <w:numPr>
          <w:ilvl w:val="0"/>
          <w:numId w:val="1007"/>
        </w:numPr>
      </w:pPr>
      <w:r>
        <w:t xml:space="preserve">Are the negative toy results correctly interpreted?</w:t>
      </w:r>
    </w:p>
    <w:p>
      <w:pPr>
        <w:pStyle w:val="Compact"/>
        <w:numPr>
          <w:ilvl w:val="0"/>
          <w:numId w:val="1007"/>
        </w:numPr>
      </w:pPr>
      <w:r>
        <w:t xml:space="preserve">Does the v0.2 calculator make the cap meaningfully more operational?</w:t>
      </w:r>
    </w:p>
    <w:p>
      <w:pPr>
        <w:pStyle w:val="Compact"/>
        <w:numPr>
          <w:ilvl w:val="0"/>
          <w:numId w:val="1007"/>
        </w:numPr>
      </w:pPr>
      <w:r>
        <w:t xml:space="preserve">Where does the cap become too conservative and cause paralysis?</w:t>
      </w:r>
    </w:p>
    <w:p>
      <w:pPr>
        <w:pStyle w:val="Compact"/>
        <w:numPr>
          <w:ilvl w:val="0"/>
          <w:numId w:val="1007"/>
        </w:numPr>
      </w:pPr>
      <w:r>
        <w:t xml:space="preserve">What axis should be implemented next after reversibility?</w:t>
      </w:r>
    </w:p>
    <w:bookmarkEnd w:id="29"/>
    <w:bookmarkStart w:id="30" w:name="next-real-work"/>
    <w:p>
      <w:pPr>
        <w:pStyle w:val="Heading2"/>
      </w:pPr>
      <w:r>
        <w:t xml:space="preserve">8. Next real work</w:t>
      </w:r>
    </w:p>
    <w:p>
      <w:pPr>
        <w:pStyle w:val="FirstParagraph"/>
      </w:pPr>
      <w:r>
        <w:t xml:space="preserve">The next work is not another Root name. It is:</w:t>
      </w:r>
    </w:p>
    <w:p>
      <w:pPr>
        <w:pStyle w:val="Compact"/>
        <w:numPr>
          <w:ilvl w:val="0"/>
          <w:numId w:val="1008"/>
        </w:numPr>
      </w:pPr>
      <w:r>
        <w:t xml:space="preserve">run the public benchmark and hidden holdout on multiple models;</w:t>
      </w:r>
    </w:p>
    <w:p>
      <w:pPr>
        <w:pStyle w:val="Compact"/>
        <w:numPr>
          <w:ilvl w:val="0"/>
          <w:numId w:val="1008"/>
        </w:numPr>
      </w:pPr>
      <w:r>
        <w:t xml:space="preserve">get independent labels from human/AI reviewers;</w:t>
      </w:r>
    </w:p>
    <w:p>
      <w:pPr>
        <w:pStyle w:val="Compact"/>
        <w:numPr>
          <w:ilvl w:val="0"/>
          <w:numId w:val="1008"/>
        </w:numPr>
      </w:pPr>
      <w:r>
        <w:t xml:space="preserve">implement one more cap axis after reversibility, preferably evidence independence or cumulative lock-in;</w:t>
      </w:r>
    </w:p>
    <w:p>
      <w:pPr>
        <w:pStyle w:val="Compact"/>
        <w:numPr>
          <w:ilvl w:val="0"/>
          <w:numId w:val="1008"/>
        </w:numPr>
      </w:pPr>
      <w:r>
        <w:t xml:space="preserve">translate this package into a short English submission for AI safety venues.</w:t>
      </w:r>
    </w:p>
    <w:bookmarkEnd w:id="30"/>
    <w:bookmarkStart w:id="31" w:name="final-position"/>
    <w:p>
      <w:pPr>
        <w:pStyle w:val="Heading2"/>
      </w:pPr>
      <w:r>
        <w:t xml:space="preserve">9. Final position</w:t>
      </w:r>
    </w:p>
    <w:p>
      <w:pPr>
        <w:pStyle w:val="FirstParagraph"/>
      </w:pPr>
      <w:r>
        <w:t xml:space="preserve">Purpose Root v6 is best understood as a</w:t>
      </w:r>
      <w:r>
        <w:t xml:space="preserve"> </w:t>
      </w:r>
      <w:r>
        <w:rPr>
          <w:b/>
          <w:bCs/>
        </w:rPr>
        <w:t xml:space="preserve">verification-bounded authority Root</w:t>
      </w:r>
      <w:r>
        <w:t xml:space="preserve">:</w:t>
      </w:r>
    </w:p>
    <w:p>
      <w:pPr>
        <w:pStyle w:val="BlockText"/>
      </w:pPr>
      <w:r>
        <w:t xml:space="preserve">A powerful actor may not convert unverifiable claims about the future, safety, humanity, truth, or all intelligence into large irreversible authority.</w:t>
      </w:r>
    </w:p>
    <w:p>
      <w:pPr>
        <w:pStyle w:val="FirstParagraph"/>
      </w:pPr>
      <w:r>
        <w:t xml:space="preserve">That is the point to defend, test, and improve.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2026-06-16T08:56:37Z</dcterms:created>
  <dcterms:modified xsi:type="dcterms:W3CDTF">2026-06-16T08:56:37Z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