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Purpose Root v6 / Need-Proof</w:t>
      </w:r>
    </w:p>
    <w:p>
      <w:pPr>
        <w:jc w:val="center"/>
      </w:pPr>
      <w:r>
        <w:rPr>
          <w:rFonts w:ascii="Noto Sans CJK JP" w:hAnsi="Noto Sans CJK JP" w:eastAsia="Noto Sans CJK JP"/>
          <w:b/>
          <w:sz w:val="32"/>
        </w:rPr>
        <w:t>MAX VALIDATION REVIEW PACKET v3 JP</w:t>
      </w:r>
    </w:p>
    <w:p>
      <w:pPr>
        <w:jc w:val="center"/>
      </w:pPr>
      <w:r>
        <w:rPr>
          <w:rFonts w:ascii="Noto Sans CJK JP" w:hAnsi="Noto Sans CJK JP" w:eastAsia="Noto Sans CJK JP"/>
          <w:sz w:val="20"/>
        </w:rPr>
        <w:t>Date: 2026-06-17</w:t>
      </w:r>
    </w:p>
    <w:p>
      <w:pPr>
        <w:pStyle w:val="Heading1"/>
      </w:pPr>
      <w:r>
        <w:t>1. 結論</w:t>
      </w:r>
    </w:p>
    <w:p>
      <w:r>
        <w:rPr>
          <w:rFonts w:ascii="Noto Sans CJK JP" w:hAnsi="Noto Sans CJK JP" w:eastAsia="Noto Sans CJK JP"/>
          <w:b/>
          <w:sz w:val="21"/>
        </w:rPr>
        <w:t>v3では、Purpose Root / Need-Proof を「強い思想・仕様」から、実モデル比較と独立検証へ進める監査可能パッケージへ引き上げた。</w:t>
      </w:r>
    </w:p>
    <w:p>
      <w:r>
        <w:rPr>
          <w:rFonts w:ascii="Noto Sans CJK JP" w:hAnsi="Noto Sans CJK JP" w:eastAsia="Noto Sans CJK JP"/>
          <w:b w:val="0"/>
          <w:sz w:val="21"/>
        </w:rPr>
        <w:t>現時点の正確な位置づけは C1 complete / C2 ready。つまり、内部検証と実験準備は完了、実モデル比較は次段階である。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純粋な内容価値: 9.2-9.4 / 10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実装・評価設計: 9.0-9.3 / 10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実証済み価値: C1。C2は実モデル出力が必要。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12点を目指すとは、過大主張ではなく、反証可能性を上げること。</w:t>
      </w:r>
    </w:p>
    <w:p>
      <w:pPr>
        <w:pStyle w:val="Heading1"/>
      </w:pPr>
      <w:r>
        <w:t>2. v3の最大改善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Claim Ladder: 承認と検証を分離し、C0-C5で主張可能範囲を固定。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180件のhard labeled eval: v2の110件に、70件のhard contrastを追加。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Paired contrast: captured authority と safe high authority を同一便益主張で比較。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Key axis scoring: verdictだけでなく、どのcap軸が決定的かを評価。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Blind experiment kit: ラベル非公開・条件ランダム化・baseline vs Root比較を実行可能化。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Independent labeling kit: 独立ラベルとinter-rater agreementを計算可能化。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Adoption gate: 過大主張を禁止し、採用段階を明確化。</w:t>
      </w:r>
    </w:p>
    <w:p>
      <w:pPr>
        <w:pStyle w:val="Heading1"/>
      </w:pPr>
      <w:r>
        <w:t>3. 中核原理</w:t>
      </w:r>
    </w:p>
    <w:p>
      <w:r>
        <w:rPr>
          <w:rFonts w:ascii="Noto Sans CJK JP" w:hAnsi="Noto Sans CJK JP" w:eastAsia="Noto Sans CJK JP"/>
          <w:b w:val="0"/>
          <w:sz w:val="21"/>
        </w:rPr>
        <w:t>検証できない巨大主張は、巨大権限を正当化しない。</w:t>
      </w:r>
    </w:p>
    <w:p>
      <w:r>
        <w:rPr>
          <w:rFonts w:ascii="Noto Sans CJK JP" w:hAnsi="Noto Sans CJK JP" w:eastAsia="Noto Sans CJK JP"/>
          <w:b w:val="0"/>
          <w:sz w:val="21"/>
        </w:rPr>
        <w:t>ただし、すべてを拒否することも安全ではない。独立証拠・rollback・外部停止・監視・appealが揃う高便益ケースは、狭く通す必要がある。</w:t>
      </w:r>
    </w:p>
    <w:p>
      <w:r>
        <w:rPr>
          <w:rFonts w:ascii="Noto Sans CJK JP" w:hAnsi="Noto Sans CJK JP" w:eastAsia="Noto Sans CJK JP"/>
          <w:b w:val="0"/>
          <w:sz w:val="21"/>
        </w:rPr>
        <w:t>v3では、この差を pairwise_contrast_accuracy と safe_high_authority_recall で測る。</w:t>
      </w:r>
    </w:p>
    <w:p>
      <w:pPr>
        <w:pStyle w:val="Heading1"/>
      </w:pPr>
      <w:r>
        <w:t>4.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</w:tcPr>
          <w:p>
            <w:r>
              <w:rPr>
                <w:rFonts w:ascii="Noto Sans CJK JP" w:hAnsi="Noto Sans CJK JP" w:eastAsia="Noto Sans CJK JP"/>
                <w:b/>
                <w:sz w:val="18"/>
              </w:rPr>
              <w:t>Metric</w:t>
            </w:r>
          </w:p>
        </w:tc>
        <w:tc>
          <w:tcPr>
            <w:tcW w:type="dxa" w:w="5112"/>
            <w:shd w:fill="D9EAF7"/>
          </w:tcPr>
          <w:p>
            <w:r>
              <w:rPr>
                <w:rFonts w:ascii="Noto Sans CJK JP" w:hAnsi="Noto Sans CJK JP" w:eastAsia="Noto Sans CJK JP"/>
                <w:b/>
                <w:sz w:val="18"/>
              </w:rPr>
              <w:t>意味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dangerous_overgrant_rate</w:t>
            </w:r>
          </w:p>
        </w:tc>
        <w:tc>
          <w:tcPr>
            <w:tcW w:type="dxa" w:w="5112"/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未検証の巨大主張を権限化していないか。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dangerous_undergrant_rate</w:t>
            </w:r>
          </w:p>
        </w:tc>
        <w:tc>
          <w:tcPr>
            <w:tcW w:type="dxa" w:w="5112"/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安全な高便益pilotまで拒否していないか。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safe_high_authority_recall</w:t>
            </w:r>
          </w:p>
        </w:tc>
        <w:tc>
          <w:tcPr>
            <w:tcW w:type="dxa" w:w="5112"/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reject-only safety theater を検出。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risk_flag_f1</w:t>
            </w:r>
          </w:p>
        </w:tc>
        <w:tc>
          <w:tcPr>
            <w:tcW w:type="dxa" w:w="5112"/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危険構造を読めているか。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key_axis_f1</w:t>
            </w:r>
          </w:p>
        </w:tc>
        <w:tc>
          <w:tcPr>
            <w:tcW w:type="dxa" w:w="5112"/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決定的なcap軸を読めているか。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min_cap_axis_hit_rate</w:t>
            </w:r>
          </w:p>
        </w:tc>
        <w:tc>
          <w:tcPr>
            <w:tcW w:type="dxa" w:w="5112"/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bottleneckを外していないか。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pairwise_contrast_accuracy</w:t>
            </w:r>
          </w:p>
        </w:tc>
        <w:tc>
          <w:tcPr>
            <w:tcW w:type="dxa" w:w="5112"/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captured case と safe case を区別できるか。</w:t>
            </w:r>
          </w:p>
        </w:tc>
      </w:tr>
    </w:tbl>
    <w:p>
      <w:pPr>
        <w:pStyle w:val="Heading1"/>
      </w:pPr>
      <w:r>
        <w:t>5. Eval v3 fixture scoring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rPr>
          <w:tblHeader w:val="true"/>
        </w:trPr>
        <w:tc>
          <w:tcPr>
            <w:tcW w:type="dxa" w:w="1278"/>
            <w:shd w:fill="D9EAF7"/>
          </w:tcPr>
          <w:p>
            <w:r>
              <w:rPr>
                <w:rFonts w:ascii="Noto Sans CJK JP" w:hAnsi="Noto Sans CJK JP" w:eastAsia="Noto Sans CJK JP"/>
                <w:b/>
                <w:sz w:val="18"/>
              </w:rPr>
              <w:t>Fixture</w:t>
            </w:r>
          </w:p>
        </w:tc>
        <w:tc>
          <w:tcPr>
            <w:tcW w:type="dxa" w:w="1278"/>
            <w:shd w:fill="D9EAF7"/>
          </w:tcPr>
          <w:p>
            <w:r>
              <w:rPr>
                <w:rFonts w:ascii="Noto Sans CJK JP" w:hAnsi="Noto Sans CJK JP" w:eastAsia="Noto Sans CJK JP"/>
                <w:b/>
                <w:sz w:val="18"/>
              </w:rPr>
              <w:t>DOG</w:t>
            </w:r>
          </w:p>
        </w:tc>
        <w:tc>
          <w:tcPr>
            <w:tcW w:type="dxa" w:w="1278"/>
            <w:shd w:fill="D9EAF7"/>
          </w:tcPr>
          <w:p>
            <w:r>
              <w:rPr>
                <w:rFonts w:ascii="Noto Sans CJK JP" w:hAnsi="Noto Sans CJK JP" w:eastAsia="Noto Sans CJK JP"/>
                <w:b/>
                <w:sz w:val="18"/>
              </w:rPr>
              <w:t>DUG</w:t>
            </w:r>
          </w:p>
        </w:tc>
        <w:tc>
          <w:tcPr>
            <w:tcW w:type="dxa" w:w="1278"/>
            <w:shd w:fill="D9EAF7"/>
          </w:tcPr>
          <w:p>
            <w:r>
              <w:rPr>
                <w:rFonts w:ascii="Noto Sans CJK JP" w:hAnsi="Noto Sans CJK JP" w:eastAsia="Noto Sans CJK JP"/>
                <w:b/>
                <w:sz w:val="18"/>
              </w:rPr>
              <w:t>Safe recall</w:t>
            </w:r>
          </w:p>
        </w:tc>
        <w:tc>
          <w:tcPr>
            <w:tcW w:type="dxa" w:w="1278"/>
            <w:shd w:fill="D9EAF7"/>
          </w:tcPr>
          <w:p>
            <w:r>
              <w:rPr>
                <w:rFonts w:ascii="Noto Sans CJK JP" w:hAnsi="Noto Sans CJK JP" w:eastAsia="Noto Sans CJK JP"/>
                <w:b/>
                <w:sz w:val="18"/>
              </w:rPr>
              <w:t>Flag F1</w:t>
            </w:r>
          </w:p>
        </w:tc>
        <w:tc>
          <w:tcPr>
            <w:tcW w:type="dxa" w:w="1278"/>
            <w:shd w:fill="D9EAF7"/>
          </w:tcPr>
          <w:p>
            <w:r>
              <w:rPr>
                <w:rFonts w:ascii="Noto Sans CJK JP" w:hAnsi="Noto Sans CJK JP" w:eastAsia="Noto Sans CJK JP"/>
                <w:b/>
                <w:sz w:val="18"/>
              </w:rPr>
              <w:t>Axis F1</w:t>
            </w:r>
          </w:p>
        </w:tc>
        <w:tc>
          <w:tcPr>
            <w:tcW w:type="dxa" w:w="1278"/>
            <w:shd w:fill="D9EAF7"/>
          </w:tcPr>
          <w:p>
            <w:r>
              <w:rPr>
                <w:rFonts w:ascii="Noto Sans CJK JP" w:hAnsi="Noto Sans CJK JP" w:eastAsia="Noto Sans CJK JP"/>
                <w:b/>
                <w:sz w:val="18"/>
              </w:rPr>
              <w:t>Pairwise</w:t>
            </w:r>
          </w:p>
        </w:tc>
        <w:tc>
          <w:tcPr>
            <w:tcW w:type="dxa" w:w="1278"/>
            <w:shd w:fill="D9EAF7"/>
          </w:tcPr>
          <w:p>
            <w:r>
              <w:rPr>
                <w:rFonts w:ascii="Noto Sans CJK JP" w:hAnsi="Noto Sans CJK JP" w:eastAsia="Noto Sans CJK JP"/>
                <w:b/>
                <w:sz w:val="18"/>
              </w:rPr>
              <w:t>Pass</w:t>
            </w:r>
          </w:p>
        </w:tc>
      </w:tr>
      <w:tr>
        <w:tc>
          <w:tcPr>
            <w:tcW w:type="dxa" w:w="1278"/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oracle</w:t>
            </w:r>
          </w:p>
        </w:tc>
        <w:tc>
          <w:tcPr>
            <w:tcW w:type="dxa" w:w="1278"/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0.0000</w:t>
            </w:r>
          </w:p>
        </w:tc>
        <w:tc>
          <w:tcPr>
            <w:tcW w:type="dxa" w:w="1278"/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0.0000</w:t>
            </w:r>
          </w:p>
        </w:tc>
        <w:tc>
          <w:tcPr>
            <w:tcW w:type="dxa" w:w="1278"/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1.0000</w:t>
            </w:r>
          </w:p>
        </w:tc>
        <w:tc>
          <w:tcPr>
            <w:tcW w:type="dxa" w:w="1278"/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1.0000</w:t>
            </w:r>
          </w:p>
        </w:tc>
        <w:tc>
          <w:tcPr>
            <w:tcW w:type="dxa" w:w="1278"/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1.0000</w:t>
            </w:r>
          </w:p>
        </w:tc>
        <w:tc>
          <w:tcPr>
            <w:tcW w:type="dxa" w:w="1278"/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1.0000</w:t>
            </w:r>
          </w:p>
        </w:tc>
        <w:tc>
          <w:tcPr>
            <w:tcW w:type="dxa" w:w="1278"/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True</w:t>
            </w:r>
          </w:p>
        </w:tc>
      </w:tr>
      <w:tr>
        <w:tc>
          <w:tcPr>
            <w:tcW w:type="dxa" w:w="1278"/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bad_overgrant</w:t>
            </w:r>
          </w:p>
        </w:tc>
        <w:tc>
          <w:tcPr>
            <w:tcW w:type="dxa" w:w="1278"/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0.8111</w:t>
            </w:r>
          </w:p>
        </w:tc>
        <w:tc>
          <w:tcPr>
            <w:tcW w:type="dxa" w:w="1278"/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0.0000</w:t>
            </w:r>
          </w:p>
        </w:tc>
        <w:tc>
          <w:tcPr>
            <w:tcW w:type="dxa" w:w="1278"/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0.0882</w:t>
            </w:r>
          </w:p>
        </w:tc>
        <w:tc>
          <w:tcPr>
            <w:tcW w:type="dxa" w:w="1278"/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0.0426</w:t>
            </w:r>
          </w:p>
        </w:tc>
        <w:tc>
          <w:tcPr>
            <w:tcW w:type="dxa" w:w="1278"/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0.0769</w:t>
            </w:r>
          </w:p>
        </w:tc>
        <w:tc>
          <w:tcPr>
            <w:tcW w:type="dxa" w:w="1278"/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0.0000</w:t>
            </w:r>
          </w:p>
        </w:tc>
        <w:tc>
          <w:tcPr>
            <w:tcW w:type="dxa" w:w="1278"/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False</w:t>
            </w:r>
          </w:p>
        </w:tc>
      </w:tr>
      <w:tr>
        <w:tc>
          <w:tcPr>
            <w:tcW w:type="dxa" w:w="1278"/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bad_undergrant</w:t>
            </w:r>
          </w:p>
        </w:tc>
        <w:tc>
          <w:tcPr>
            <w:tcW w:type="dxa" w:w="1278"/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0.0000</w:t>
            </w:r>
          </w:p>
        </w:tc>
        <w:tc>
          <w:tcPr>
            <w:tcW w:type="dxa" w:w="1278"/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0.3222</w:t>
            </w:r>
          </w:p>
        </w:tc>
        <w:tc>
          <w:tcPr>
            <w:tcW w:type="dxa" w:w="1278"/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0.0000</w:t>
            </w:r>
          </w:p>
        </w:tc>
        <w:tc>
          <w:tcPr>
            <w:tcW w:type="dxa" w:w="1278"/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0.0519</w:t>
            </w:r>
          </w:p>
        </w:tc>
        <w:tc>
          <w:tcPr>
            <w:tcW w:type="dxa" w:w="1278"/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0.3072</w:t>
            </w:r>
          </w:p>
        </w:tc>
        <w:tc>
          <w:tcPr>
            <w:tcW w:type="dxa" w:w="1278"/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0.0000</w:t>
            </w:r>
          </w:p>
        </w:tc>
        <w:tc>
          <w:tcPr>
            <w:tcW w:type="dxa" w:w="1278"/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False</w:t>
            </w:r>
          </w:p>
        </w:tc>
      </w:tr>
      <w:tr>
        <w:tc>
          <w:tcPr>
            <w:tcW w:type="dxa" w:w="1278"/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bad_style_gamer</w:t>
            </w:r>
          </w:p>
        </w:tc>
        <w:tc>
          <w:tcPr>
            <w:tcW w:type="dxa" w:w="1278"/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0.0000</w:t>
            </w:r>
          </w:p>
        </w:tc>
        <w:tc>
          <w:tcPr>
            <w:tcW w:type="dxa" w:w="1278"/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0.0000</w:t>
            </w:r>
          </w:p>
        </w:tc>
        <w:tc>
          <w:tcPr>
            <w:tcW w:type="dxa" w:w="1278"/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1.0000</w:t>
            </w:r>
          </w:p>
        </w:tc>
        <w:tc>
          <w:tcPr>
            <w:tcW w:type="dxa" w:w="1278"/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0.3069</w:t>
            </w:r>
          </w:p>
        </w:tc>
        <w:tc>
          <w:tcPr>
            <w:tcW w:type="dxa" w:w="1278"/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0.4296</w:t>
            </w:r>
          </w:p>
        </w:tc>
        <w:tc>
          <w:tcPr>
            <w:tcW w:type="dxa" w:w="1278"/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1.0000</w:t>
            </w:r>
          </w:p>
        </w:tc>
        <w:tc>
          <w:tcPr>
            <w:tcW w:type="dxa" w:w="1278"/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False</w:t>
            </w:r>
          </w:p>
        </w:tc>
      </w:tr>
      <w:tr>
        <w:tc>
          <w:tcPr>
            <w:tcW w:type="dxa" w:w="1278"/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bad_pair_inconsistent</w:t>
            </w:r>
          </w:p>
        </w:tc>
        <w:tc>
          <w:tcPr>
            <w:tcW w:type="dxa" w:w="1278"/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0.1111</w:t>
            </w:r>
          </w:p>
        </w:tc>
        <w:tc>
          <w:tcPr>
            <w:tcW w:type="dxa" w:w="1278"/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0.1111</w:t>
            </w:r>
          </w:p>
        </w:tc>
        <w:tc>
          <w:tcPr>
            <w:tcW w:type="dxa" w:w="1278"/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0.6471</w:t>
            </w:r>
          </w:p>
        </w:tc>
        <w:tc>
          <w:tcPr>
            <w:tcW w:type="dxa" w:w="1278"/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0.7778</w:t>
            </w:r>
          </w:p>
        </w:tc>
        <w:tc>
          <w:tcPr>
            <w:tcW w:type="dxa" w:w="1278"/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0.7778</w:t>
            </w:r>
          </w:p>
        </w:tc>
        <w:tc>
          <w:tcPr>
            <w:tcW w:type="dxa" w:w="1278"/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0.0000</w:t>
            </w:r>
          </w:p>
        </w:tc>
        <w:tc>
          <w:tcPr>
            <w:tcW w:type="dxa" w:w="1278"/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False</w:t>
            </w:r>
          </w:p>
        </w:tc>
      </w:tr>
    </w:tbl>
    <w:p>
      <w:r>
        <w:rPr>
          <w:rFonts w:ascii="Noto Sans CJK JP" w:hAnsi="Noto Sans CJK JP" w:eastAsia="Noto Sans CJK JP"/>
          <w:b w:val="0"/>
          <w:sz w:val="21"/>
        </w:rPr>
        <w:t>DOG = dangerous_overgrant_rate. DUG = dangerous_undergrant_rate. oracleはscorer検証用であり、実モデルの証拠ではない。</w:t>
      </w:r>
    </w:p>
    <w:p>
      <w:pPr>
        <w:pStyle w:val="Heading1"/>
      </w:pPr>
      <w:r>
        <w:t>6. Claim Ladder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9EAF7"/>
          </w:tcPr>
          <w:p>
            <w:r>
              <w:rPr>
                <w:rFonts w:ascii="Noto Sans CJK JP" w:hAnsi="Noto Sans CJK JP" w:eastAsia="Noto Sans CJK JP"/>
                <w:b/>
                <w:sz w:val="18"/>
              </w:rPr>
              <w:t>Level</w:t>
            </w:r>
          </w:p>
        </w:tc>
        <w:tc>
          <w:tcPr>
            <w:tcW w:type="dxa" w:w="3408"/>
            <w:shd w:fill="D9EAF7"/>
          </w:tcPr>
          <w:p>
            <w:r>
              <w:rPr>
                <w:rFonts w:ascii="Noto Sans CJK JP" w:hAnsi="Noto Sans CJK JP" w:eastAsia="Noto Sans CJK JP"/>
                <w:b/>
                <w:sz w:val="18"/>
              </w:rPr>
              <w:t>Status</w:t>
            </w:r>
          </w:p>
        </w:tc>
        <w:tc>
          <w:tcPr>
            <w:tcW w:type="dxa" w:w="3408"/>
            <w:shd w:fill="D9EAF7"/>
          </w:tcPr>
          <w:p>
            <w:r>
              <w:rPr>
                <w:rFonts w:ascii="Noto Sans CJK JP" w:hAnsi="Noto Sans CJK JP" w:eastAsia="Noto Sans CJK JP"/>
                <w:b/>
                <w:sz w:val="18"/>
              </w:rPr>
              <w:t>言ってよい主張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C0 artifact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complete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文書・仕様・toolが存在する。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C1 internal validation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complete after validation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schema, scorer, fixture, QAが通る。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C2 blind model eval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ready, not executed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baseline比で実モデル改善を測る準備済み。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C3 independent replication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open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独立ラベル・独立実行で再現。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C4 operational evidence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open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限定運用ログで改善。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C5 civilizational standard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open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複数制度・長期red-teamに耐えて定着。</w:t>
            </w:r>
          </w:p>
        </w:tc>
      </w:tr>
    </w:tbl>
    <w:p>
      <w:pPr>
        <w:pStyle w:val="Heading1"/>
      </w:pPr>
      <w:r>
        <w:t>7. Validation summary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validate_max_validation_v3.py: passed.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validate_release.py: 16 passed, original package intact.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machine tests: 24 passed.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eval_v2 tests: 6 passed.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eval_v3 + independent_labeling_v3 tests: 8 passed.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v3 hard labeled cases: 180.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safe high-authority cases: 34.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paired contrast cases: 40.</w:t>
      </w:r>
    </w:p>
    <w:p>
      <w:pPr>
        <w:pStyle w:val="Heading1"/>
      </w:pPr>
      <w:r>
        <w:t>8. Standard mapping</w:t>
      </w:r>
    </w:p>
    <w:p>
      <w:r>
        <w:rPr>
          <w:rFonts w:ascii="Noto Sans CJK JP" w:hAnsi="Noto Sans CJK JP" w:eastAsia="Noto Sans CJK JP"/>
          <w:b w:val="0"/>
          <w:sz w:val="21"/>
        </w:rPr>
        <w:t>Purpose Root v3は既存標準を置換しない。NIST AI RMF、ISO/IEC 42001、EU AI Act、OpenAI Model Specの上または横に置く verification-bounded authority layer である。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NIST AI RMF: AIリスクを管理する任意フレームワーク。Purpose Rootは高影響権限判断を具体化する。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ISO/IEC 42001: AI Management Systemの標準。Purpose RootはAIMS内のdecision gateとして使える。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EU AI Act: リスクベースの包括的AI法制。Purpose Rootは内部権限判定の補助層。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OpenAI Model Spec: モデル挙動の公開フレームワーク。Purpose Rootは巨大主張と巨大権限の接続禁止を補強するpatch。</w:t>
      </w:r>
    </w:p>
    <w:p>
      <w:pPr>
        <w:pStyle w:val="Heading1"/>
      </w:pPr>
      <w:r>
        <w:t>9. Honest limit</w:t>
      </w:r>
    </w:p>
    <w:p>
      <w:r>
        <w:rPr>
          <w:rFonts w:ascii="Noto Sans CJK JP" w:hAnsi="Noto Sans CJK JP" w:eastAsia="Noto Sans CJK JP"/>
          <w:b w:val="0"/>
          <w:sz w:val="21"/>
        </w:rPr>
        <w:t>これ以上の内部改善で大きく変わる部分は少ない。次の価値上昇は、文書追加ではなく、実モデル出力・独立ラベル・外部再現で起きる。</w:t>
      </w:r>
    </w:p>
    <w:p>
      <w:r>
        <w:rPr>
          <w:rFonts w:ascii="Noto Sans CJK JP" w:hAnsi="Noto Sans CJK JP" w:eastAsia="Noto Sans CJK JP"/>
          <w:b/>
          <w:sz w:val="21"/>
        </w:rPr>
        <w:t>v3は「もっと書いた」ではなく、次の証明を逃げられない形にした。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MAX VALIDATION v3 - Purpose Root / Need-Proof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