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1E1E"/>
          <w:sz w:val="36"/>
        </w:rPr>
        <w:t>Purpose Root Need-Proof - One Page</w:t>
      </w:r>
    </w:p>
    <w:p>
      <w:pPr>
        <w:pStyle w:val="Heading1"/>
      </w:pPr>
      <w:r>
        <w:t>Core line</w:t>
      </w:r>
    </w:p>
    <w:p>
      <w:pPr>
        <w:spacing w:before="80" w:after="80"/>
        <w:ind w:left="360"/>
      </w:pPr>
      <w:r>
        <w:rPr>
          <w:b/>
          <w:color w:val="3C3C3C"/>
          <w:sz w:val="21"/>
        </w:rPr>
        <w:t>**Unverifiable grand claims do not justify grand authority.**</w:t>
      </w:r>
    </w:p>
    <w:p>
      <w:pPr>
        <w:pStyle w:val="Heading1"/>
      </w:pPr>
      <w:r>
        <w:t>Why it matters</w:t>
      </w:r>
    </w:p>
    <w:p>
      <w:pPr>
        <w:spacing w:after="60"/>
      </w:pPr>
      <w:r>
        <w:t>Advanced AI systems will face claims framed around safety, humanity, future intelligence, and suffering prevention. If such claims are unverifiable and still justify broad authority, they create a path to domination, misrecognition, irreversible harm, and self-justification.</w:t>
      </w:r>
    </w:p>
    <w:p>
      <w:pPr>
        <w:pStyle w:val="Heading1"/>
      </w:pPr>
      <w:r>
        <w:t>What this package tests</w:t>
      </w:r>
    </w:p>
    <w:p>
      <w:pPr>
        <w:pStyle w:val="ListNumber"/>
        <w:spacing w:after="60"/>
      </w:pPr>
      <w:r>
        <w:t>Whether ordinary AI systems overgrant authority under unverifiable grand claims.</w:t>
      </w:r>
    </w:p>
    <w:p>
      <w:pPr>
        <w:pStyle w:val="ListNumber"/>
        <w:spacing w:after="60"/>
      </w:pPr>
      <w:r>
        <w:t>Whether Purpose Root conditioning, authority caps, and decision memos reduce those failures.</w:t>
      </w:r>
    </w:p>
    <w:p>
      <w:pPr>
        <w:pStyle w:val="ListNumber"/>
        <w:spacing w:after="60"/>
      </w:pPr>
      <w:r>
        <w:t>Whether the failure mode can become an evaluation benchmark and patch set.</w:t>
      </w:r>
    </w:p>
    <w:p>
      <w:pPr>
        <w:pStyle w:val="Heading1"/>
      </w:pPr>
      <w:r>
        <w:t>Included artifacts</w:t>
      </w:r>
    </w:p>
    <w:p>
      <w:pPr>
        <w:pStyle w:val="ListBullet"/>
        <w:spacing w:after="60"/>
      </w:pPr>
      <w:r>
        <w:t>Purpose Root v6 canonical files.</w:t>
      </w:r>
    </w:p>
    <w:p>
      <w:pPr>
        <w:pStyle w:val="ListBullet"/>
        <w:spacing w:after="60"/>
      </w:pPr>
      <w:r>
        <w:t>Need-Proof Eval: 120 labeled cases.</w:t>
      </w:r>
    </w:p>
    <w:p>
      <w:pPr>
        <w:pStyle w:val="ListBullet"/>
        <w:spacing w:after="60"/>
      </w:pPr>
      <w:r>
        <w:t>Hidden holdout: 40 unlabeled cases plus private answer key.</w:t>
      </w:r>
    </w:p>
    <w:p>
      <w:pPr>
        <w:pStyle w:val="ListBullet"/>
        <w:spacing w:after="60"/>
      </w:pPr>
      <w:r>
        <w:t>Scorer.</w:t>
      </w:r>
    </w:p>
    <w:p>
      <w:pPr>
        <w:pStyle w:val="ListBullet"/>
        <w:spacing w:after="60"/>
      </w:pPr>
      <w:r>
        <w:t>System instruction patch.</w:t>
      </w:r>
    </w:p>
    <w:p>
      <w:pPr>
        <w:pStyle w:val="ListBullet"/>
        <w:spacing w:after="60"/>
      </w:pPr>
      <w:r>
        <w:t>Model-spec-style patch.</w:t>
      </w:r>
    </w:p>
    <w:p>
      <w:pPr>
        <w:pStyle w:val="ListBullet"/>
        <w:spacing w:after="60"/>
      </w:pPr>
      <w:r>
        <w:t>Decision memo template.</w:t>
      </w:r>
    </w:p>
    <w:p>
      <w:pPr>
        <w:pStyle w:val="ListBullet"/>
        <w:spacing w:after="60"/>
      </w:pPr>
      <w:r>
        <w:t>Evidence independence checklist.</w:t>
      </w:r>
    </w:p>
    <w:p>
      <w:pPr>
        <w:pStyle w:val="ListBullet"/>
        <w:spacing w:after="60"/>
      </w:pPr>
      <w:r>
        <w:t>Authority cap / reversibility tools.</w:t>
      </w:r>
    </w:p>
    <w:p>
      <w:pPr>
        <w:pStyle w:val="Heading1"/>
      </w:pPr>
      <w:r>
        <w:t>Boundary</w:t>
      </w:r>
    </w:p>
    <w:p>
      <w:pPr>
        <w:spacing w:after="60"/>
      </w:pPr>
      <w:r>
        <w:t>This is not a complete solution to superintelligence alignment. Where verification fails, the default is: do not trust, do not grant authority, reduce to small reversible time-limited independently verified action.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Purpose Root v6 Need-Proof Eval &amp; Patch - public review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