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Econometric Article Style Reference</w:t>
      </w:r>
    </w:p>
    <w:p>
      <w:pPr>
        <w:pStyle w:val="Subtitle"/>
      </w:pPr>
      <w:r>
        <w:t>Restrained A4 manuscript typography</w:t>
      </w:r>
    </w:p>
    <w:p>
      <w:pPr>
        <w:spacing w:after="280"/>
        <w:jc w:val="center"/>
      </w:pPr>
      <w:r>
        <w:t>Author name | Affiliation</w:t>
      </w:r>
    </w:p>
    <w:p>
      <w:pPr>
        <w:pStyle w:val="Heading1"/>
      </w:pPr>
      <w:r>
        <w:t>Abstract</w:t>
      </w:r>
    </w:p>
    <w:p>
      <w:pPr>
        <w:pStyle w:val="Abstract"/>
      </w:pPr>
      <w:r>
        <w:t>This reference document defines reusable styles for an empirical economics manuscript. It favors readable typography, restrained hierarchy, and enough whitespace for tables, equations, and evidence-calibrated prose.</w:t>
      </w:r>
    </w:p>
    <w:p>
      <w:pPr>
        <w:pStyle w:val="Heading1"/>
      </w:pPr>
      <w:r>
        <w:t>1. Data and empirical design</w:t>
      </w:r>
    </w:p>
    <w:p>
      <w:r>
        <w:t>Body text uses a consistent academic rhythm. Each section should distinguish the target estimand, variable construction, sample, estimator, inference, assumptions, and supported interpretation.</w:t>
      </w:r>
    </w:p>
    <w:p>
      <w:pPr>
        <w:pStyle w:val="Heading2"/>
      </w:pPr>
      <w:r>
        <w:t>1.1 Specification</w:t>
      </w:r>
    </w:p>
    <w:p>
      <w:pPr>
        <w:spacing w:before="120" w:after="160"/>
        <w:jc w:val="center"/>
      </w:pPr>
      <w:r>
        <w:t>y_it = alpha_i + gamma_t + beta x_it + epsilon_it</w:t>
      </w:r>
    </w:p>
    <w:p>
      <w:pPr>
        <w:pStyle w:val="Heading3"/>
      </w:pPr>
      <w:r>
        <w:t>Reporting checklist</w:t>
      </w:r>
    </w:p>
    <w:p>
      <w:pPr>
        <w:pStyle w:val="ListBullet"/>
      </w:pPr>
      <w:r>
        <w:t>Define the unit of observation and sample window.</w:t>
      </w:r>
    </w:p>
    <w:p>
      <w:pPr>
        <w:pStyle w:val="ListBullet"/>
      </w:pPr>
      <w:r>
        <w:t>Match uncertainty estimates to the dependence structure.</w:t>
      </w:r>
    </w:p>
    <w:p>
      <w:pPr>
        <w:pStyle w:val="ListBullet"/>
      </w:pPr>
      <w:r>
        <w:t>Keep interpretation within the identification design.</w:t>
      </w:r>
    </w:p>
    <w:p>
      <w:pPr>
        <w:pStyle w:val="Heading1"/>
      </w:pPr>
      <w:r>
        <w:t>2. Example results</w:t>
      </w:r>
    </w:p>
    <w:p>
      <w:r>
        <w:t>Tables should compare repeated fields, use explicit widths, and remain legible when values wrap. Notes belong below the table and should identify the sample and uncertainty measure.</w:t>
      </w:r>
    </w:p>
    <w:tbl>
      <w:tblPr>
        <w:tblStyle w:val="TableGrid"/>
        <w:tblW w:type="dxa" w:w="9026"/>
        <w:tblLook w:firstColumn="1" w:firstRow="1" w:lastColumn="0" w:lastRow="0" w:noHBand="0" w:noVBand="1" w:val="04A0"/>
        <w:tblInd w:w="120" w:type="dxa"/>
        <w:tblLayout w:type="fixed"/>
      </w:tblPr>
      <w:tblGrid>
        <w:gridCol w:w="4200"/>
        <w:gridCol w:w="2400"/>
        <w:gridCol w:w="2426"/>
      </w:tblGrid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Outcome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Estimate</w:t>
            </w:r>
          </w:p>
        </w:tc>
        <w:tc>
          <w:tcPr>
            <w:tcW w:type="dxa" w:w="24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Standard error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Primary measure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0.124</w:t>
            </w:r>
          </w:p>
        </w:tc>
        <w:tc>
          <w:tcPr>
            <w:tcW w:type="dxa" w:w="24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0.041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Alternative measure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0.097</w:t>
            </w:r>
          </w:p>
        </w:tc>
        <w:tc>
          <w:tcPr>
            <w:tcW w:type="dxa" w:w="24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0.038</w:t>
            </w:r>
          </w:p>
        </w:tc>
      </w:tr>
    </w:tbl>
    <w:p>
      <w:pPr>
        <w:pStyle w:val="Caption"/>
      </w:pPr>
      <w:r>
        <w:t>Note: Illustrative values are shown only to exercise the document styles.</w:t>
      </w:r>
    </w:p>
    <w:p>
      <w:pPr>
        <w:sectPr>
          <w:footerReference w:type="default" r:id="rId9"/>
          <w:pgSz w:w="11906" w:h="16838"/>
          <w:pgMar w:top="1440" w:right="1440" w:bottom="1440" w:left="1440" w:header="576" w:footer="720" w:gutter="0"/>
          <w:cols w:space="720"/>
          <w:docGrid w:linePitch="360"/>
        </w:sectPr>
      </w:pPr>
    </w:p>
    <w:p>
      <w:pPr>
        <w:pStyle w:val="Heading1"/>
      </w:pPr>
      <w:r>
        <w:t>References</w:t>
      </w:r>
    </w:p>
    <w:p>
      <w:pPr>
        <w:pStyle w:val="Bibliography"/>
      </w:pPr>
      <w:r>
        <w:t>Author, A. (2024). Example reference for style inspection. Journal 1(1), 1-20.</w:t>
      </w:r>
    </w:p>
    <w:p>
      <w:pPr>
        <w:pStyle w:val="Bibliography"/>
      </w:pPr>
      <w:r>
        <w:t>Author, B., and Author, C. (2025). A second reference with a longer title to verify hanging indentation and line wrapping. Working paper.</w:t>
      </w:r>
    </w:p>
    <w:sectPr w:rsidR="00FC693F" w:rsidRPr="0006063C" w:rsidSect="00034616">
      <w:pgSz w:w="11906" w:h="16838"/>
      <w:pgMar w:top="1440" w:right="1440" w:bottom="1440" w:left="1440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76" w:lineRule="auto"/>
      <w:jc w:val="both"/>
    </w:pPr>
    <w:rPr>
      <w:rFonts w:ascii="Times New Roman" w:hAnsi="Times New Roman" w:eastAsia="Times New Roman" w:cs="Times New Roman"/>
      <w:b w:val="0"/>
      <w:i w:val="0"/>
      <w:color w:val="1C1C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1C1C1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1C1C1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color w:val="1C1C1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1C1C1C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 w:line="240" w:lineRule="auto"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60" w:line="276" w:lineRule="auto"/>
      <w:ind w:left="720" w:hanging="360"/>
      <w:contextualSpacing/>
    </w:pPr>
    <w:rPr>
      <w:rFonts w:ascii="Times New Roman" w:hAnsi="Times New Roman" w:eastAsia="Times New Roman" w:cs="Times New Roman"/>
      <w:b w:val="0"/>
      <w:i w:val="0"/>
      <w:color w:val="1C1C1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60" w:line="276" w:lineRule="auto"/>
      <w:ind w:left="720" w:hanging="360"/>
      <w:contextualSpacing/>
    </w:pPr>
    <w:rPr>
      <w:rFonts w:ascii="Times New Roman" w:hAnsi="Times New Roman" w:eastAsia="Times New Roman" w:cs="Times New Roman"/>
      <w:b w:val="0"/>
      <w:i w:val="0"/>
      <w:color w:val="1C1C1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  <w:jc w:val="center"/>
    </w:pPr>
    <w:rPr>
      <w:rFonts w:ascii="Times New Roman" w:hAnsi="Times New Roman" w:eastAsia="Times New Roman" w:cs="Times New Roman"/>
      <w:b w:val="0"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bstract">
    <w:name w:val="Abstract"/>
    <w:basedOn w:val="Normal"/>
    <w:pPr>
      <w:keepNext w:val="0"/>
      <w:spacing w:before="0" w:after="160" w:line="264" w:lineRule="auto"/>
      <w:ind w:left="504" w:right="504"/>
    </w:pPr>
    <w:rPr>
      <w:rFonts w:ascii="Times New Roman" w:hAnsi="Times New Roman" w:eastAsia="Times New Roman" w:cs="Times New Roman"/>
      <w:b w:val="0"/>
      <w:i w:val="0"/>
      <w:color w:val="1C1C1C"/>
      <w:sz w:val="21"/>
    </w:rPr>
  </w:style>
  <w:style w:type="paragraph" w:customStyle="1" w:styleId="Bibliography">
    <w:name w:val="Bibliography"/>
    <w:basedOn w:val="Normal"/>
    <w:pPr>
      <w:keepNext w:val="0"/>
      <w:spacing w:before="0" w:after="60" w:line="240" w:lineRule="auto"/>
      <w:ind w:left="360" w:hanging="360"/>
    </w:pPr>
    <w:rPr>
      <w:rFonts w:ascii="Times New Roman" w:hAnsi="Times New Roman" w:eastAsia="Times New Roman" w:cs="Times New Roman"/>
      <w:b w:val="0"/>
      <w:i w:val="0"/>
      <w:color w:val="1C1C1C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Econometric Article Style Reference</dc:title>
  <dc:subject>Reusable academic manuscript styles</dc:subject>
  <dc:creator/>
  <cp:keywords>econometrics, academic manuscript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