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EE3A" w14:textId="77777777" w:rsidR="00791956" w:rsidRDefault="00550235">
      <w:pPr>
        <w:pStyle w:val="Title"/>
      </w:pPr>
      <w:r>
        <w:t>Econometric Article Style Reference</w:t>
      </w:r>
    </w:p>
    <w:p w14:paraId="457727F2" w14:textId="77777777" w:rsidR="00791956" w:rsidRDefault="00550235">
      <w:pPr>
        <w:pStyle w:val="Subtitle"/>
      </w:pPr>
      <w:r>
        <w:t>Editable manuscript structures for empirical research</w:t>
      </w:r>
    </w:p>
    <w:p w14:paraId="074458F1" w14:textId="77777777" w:rsidR="00791956" w:rsidRDefault="00550235" w:rsidP="004940E9">
      <w:pPr>
        <w:jc w:val="center"/>
      </w:pPr>
      <w:r>
        <w:t>Author name | Affiliation</w:t>
      </w:r>
    </w:p>
    <w:p w14:paraId="6414C9D9" w14:textId="77777777" w:rsidR="00791956" w:rsidRDefault="00550235" w:rsidP="004940E9">
      <w:pPr>
        <w:jc w:val="center"/>
      </w:pPr>
      <w:r>
        <w:t>v0.1</w:t>
      </w:r>
    </w:p>
    <w:p w14:paraId="0C9081CC" w14:textId="77777777" w:rsidR="00791956" w:rsidRPr="004940E9" w:rsidRDefault="00550235">
      <w:pPr>
        <w:rPr>
          <w:b/>
        </w:rPr>
      </w:pPr>
      <w:r w:rsidRPr="004940E9">
        <w:rPr>
          <w:b/>
        </w:rPr>
        <w:t>Abstract</w:t>
      </w:r>
    </w:p>
    <w:p w14:paraId="1ED01B2B" w14:textId="77777777" w:rsidR="00791956" w:rsidRDefault="00550235">
      <w:pPr>
        <w:pStyle w:val="Abstract"/>
      </w:pPr>
      <w:r>
        <w:t>This document demonstrates reusable Word styles and semantic structures for an empirical economics manuscript. Its equations, headings, emphasis, lists, links, table, notes, citations, and bibliography remain editable.</w:t>
      </w:r>
    </w:p>
    <w:p w14:paraId="30AF12F8" w14:textId="77777777" w:rsidR="00791956" w:rsidRDefault="00550235">
      <w:pPr>
        <w:pStyle w:val="Heading1"/>
      </w:pPr>
      <w:bookmarkStart w:id="0" w:name="data-and-design"/>
      <w:r>
        <w:t>Data and empirical design</w:t>
      </w:r>
    </w:p>
    <w:p w14:paraId="47777F79" w14:textId="77777777" w:rsidR="00791956" w:rsidRDefault="00550235">
      <w:r>
        <w:t xml:space="preserve">Body text uses a restrained academic rhythm. </w:t>
      </w:r>
      <w:r>
        <w:rPr>
          <w:b/>
          <w:bCs/>
        </w:rPr>
        <w:t>Target estimand.</w:t>
      </w:r>
      <w:r>
        <w:t xml:space="preserve"> Define the quantity of interest before choosing the estimator. </w:t>
      </w:r>
      <w:r>
        <w:rPr>
          <w:i/>
          <w:iCs/>
        </w:rPr>
        <w:t>Interpretation discipline.</w:t>
      </w:r>
      <w:r>
        <w:t xml:space="preserve"> Keep every claim within the identifying assumptions supported by the research design.</w:t>
      </w:r>
    </w:p>
    <w:p w14:paraId="4E621475" w14:textId="77777777" w:rsidR="00791956" w:rsidRDefault="00550235">
      <w:r>
        <w:t>A result is informative only relative to the population, assignment mechanism, and uncertainty structure that generated it.</w:t>
      </w:r>
    </w:p>
    <w:p w14:paraId="23B79BA1" w14:textId="77777777" w:rsidR="00791956" w:rsidRDefault="00550235">
      <w:pPr>
        <w:pStyle w:val="Heading2"/>
      </w:pPr>
      <w:bookmarkStart w:id="1" w:name="specification"/>
      <w:r>
        <w:t>Specification</w:t>
      </w:r>
    </w:p>
    <w:p w14:paraId="55DA4222" w14:textId="77777777" w:rsidR="00791956" w:rsidRDefault="00550235">
      <w:r>
        <w:t xml:space="preserve">Inline mathematics remains editable, including the null hypothesis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the conditional mean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. The baseline panel specification is displayed separately:</w:t>
      </w:r>
    </w:p>
    <w:p w14:paraId="3127F99B" w14:textId="77777777" w:rsidR="00791956" w:rsidRDefault="006D28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9F6E52" w14:textId="77777777" w:rsidR="00791956" w:rsidRDefault="00550235">
      <w:r>
        <w:t>Revenue-weighted exposure combines country shares and country risk:</w:t>
      </w:r>
    </w:p>
    <w:p w14:paraId="305836C7" w14:textId="77777777" w:rsidR="00791956" w:rsidRDefault="006D289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ExposureRisk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Revenue</m:t>
                  </m:r>
                </m:e>
                <m:sub>
                  <m:r>
                    <w:rPr>
                      <w:rFonts w:ascii="Cambria Math" w:hAnsi="Cambria Math"/>
                    </w:rPr>
                    <m:t>ic</m:t>
                  </m:r>
                </m:sub>
              </m:sSub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Revenue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33A34DA" w14:textId="77777777" w:rsidR="00791956" w:rsidRDefault="00550235">
      <w:pPr>
        <w:pStyle w:val="Heading3"/>
      </w:pPr>
      <w:bookmarkStart w:id="2" w:name="reporting-checklist"/>
      <w:r>
        <w:t>Reporting checklist</w:t>
      </w:r>
    </w:p>
    <w:p w14:paraId="2B0A70C1" w14:textId="77777777" w:rsidR="00791956" w:rsidRDefault="00550235">
      <w:pPr>
        <w:numPr>
          <w:ilvl w:val="0"/>
          <w:numId w:val="11"/>
        </w:numPr>
      </w:pPr>
      <w:r>
        <w:t>Define the unit of observation and sample window.</w:t>
      </w:r>
    </w:p>
    <w:p w14:paraId="4A94629F" w14:textId="77777777" w:rsidR="00791956" w:rsidRDefault="00550235">
      <w:pPr>
        <w:numPr>
          <w:ilvl w:val="0"/>
          <w:numId w:val="11"/>
        </w:numPr>
      </w:pPr>
      <w:r>
        <w:t>Match standard errors to the dependence structure.</w:t>
      </w:r>
    </w:p>
    <w:p w14:paraId="399844AE" w14:textId="77777777" w:rsidR="00791956" w:rsidRDefault="00550235">
      <w:pPr>
        <w:numPr>
          <w:ilvl w:val="0"/>
          <w:numId w:val="11"/>
        </w:numPr>
      </w:pPr>
      <w:r>
        <w:t>Report robustness checks that address the main identifying threat.</w:t>
      </w:r>
    </w:p>
    <w:p w14:paraId="218F95AA" w14:textId="77777777" w:rsidR="00791956" w:rsidRDefault="00550235">
      <w:r>
        <w:t>The empirical sequence should remain explicit:</w:t>
      </w:r>
    </w:p>
    <w:p w14:paraId="1C6D550E" w14:textId="77777777" w:rsidR="00791956" w:rsidRDefault="00550235">
      <w:pPr>
        <w:numPr>
          <w:ilvl w:val="0"/>
          <w:numId w:val="12"/>
        </w:numPr>
      </w:pPr>
      <w:r>
        <w:t>Construct the analysis sample and document exclusions.</w:t>
      </w:r>
    </w:p>
    <w:p w14:paraId="2964B9B4" w14:textId="77777777" w:rsidR="00791956" w:rsidRDefault="00550235">
      <w:pPr>
        <w:numPr>
          <w:ilvl w:val="0"/>
          <w:numId w:val="12"/>
        </w:numPr>
      </w:pPr>
      <w:r>
        <w:t>Estimate the preregistered or primary specification.</w:t>
      </w:r>
    </w:p>
    <w:p w14:paraId="1834EA09" w14:textId="77777777" w:rsidR="00791956" w:rsidRDefault="00550235">
      <w:pPr>
        <w:numPr>
          <w:ilvl w:val="0"/>
          <w:numId w:val="12"/>
        </w:numPr>
      </w:pPr>
      <w:r>
        <w:t>Compare alternative measures and inference choices.</w:t>
      </w:r>
    </w:p>
    <w:p w14:paraId="41032539" w14:textId="77777777" w:rsidR="00791956" w:rsidRDefault="00550235" w:rsidP="004940E9">
      <w:pPr>
        <w:pStyle w:val="Heading1"/>
        <w:pageBreakBefore/>
      </w:pPr>
      <w:bookmarkStart w:id="3" w:name="results"/>
      <w:bookmarkEnd w:id="0"/>
      <w:bookmarkEnd w:id="1"/>
      <w:bookmarkEnd w:id="2"/>
      <w:r>
        <w:lastRenderedPageBreak/>
        <w:t>Results and interpretation</w:t>
      </w:r>
    </w:p>
    <w:p w14:paraId="30B7E043" w14:textId="77777777" w:rsidR="00791956" w:rsidRDefault="00550235">
      <w:r>
        <w:t xml:space="preserve">The </w:t>
      </w:r>
      <w:hyperlink w:anchor="data-and-design">
        <w:r>
          <w:t>data and empirical design</w:t>
        </w:r>
      </w:hyperlink>
      <w:r>
        <w:t xml:space="preserve"> section defines the objects reported below. Numeric columns are aligned for comparison, while the caption and note remain adjacent to the table.</w:t>
      </w:r>
    </w:p>
    <w:p w14:paraId="6B9E46AF" w14:textId="77777777" w:rsidR="004940E9" w:rsidRPr="00397835" w:rsidRDefault="004940E9" w:rsidP="00397835">
      <w:pPr>
        <w:pStyle w:val="Caption"/>
        <w:jc w:val="left"/>
        <w:rPr>
          <w:b/>
          <w:i w:val="0"/>
        </w:rPr>
      </w:pPr>
      <w:r w:rsidRPr="00397835">
        <w:rPr>
          <w:b/>
          <w:i w:val="0"/>
        </w:rPr>
        <w:t>Table 1. Revenue-weighted country risk inputs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Revenue-weighted country risk inputs"/>
      </w:tblPr>
      <w:tblGrid>
        <w:gridCol w:w="4620"/>
        <w:gridCol w:w="1596"/>
        <w:gridCol w:w="1571"/>
        <w:gridCol w:w="1455"/>
      </w:tblGrid>
      <w:tr w:rsidR="00791956" w:rsidRPr="004940E9" w14:paraId="7BE262E4" w14:textId="77777777" w:rsidTr="004940E9">
        <w:trPr>
          <w:cantSplit/>
          <w:tblHeader/>
        </w:trPr>
        <w:tc>
          <w:tcPr>
            <w:tcW w:w="2499" w:type="pct"/>
            <w:vAlign w:val="center"/>
          </w:tcPr>
          <w:p w14:paraId="779CBA28" w14:textId="5BDDEB71" w:rsidR="00791956" w:rsidRPr="004940E9" w:rsidRDefault="00550235" w:rsidP="004940E9">
            <w:pPr>
              <w:keepNext/>
              <w:spacing w:after="0"/>
              <w:jc w:val="center"/>
              <w:rPr>
                <w:b/>
              </w:rPr>
            </w:pPr>
            <w:r w:rsidRPr="004940E9">
              <w:rPr>
                <w:b/>
              </w:rPr>
              <w:t>Country</w:t>
            </w:r>
          </w:p>
        </w:tc>
        <w:tc>
          <w:tcPr>
            <w:tcW w:w="863" w:type="pct"/>
            <w:vAlign w:val="center"/>
          </w:tcPr>
          <w:p w14:paraId="529E9454" w14:textId="77777777" w:rsidR="00791956" w:rsidRPr="004940E9" w:rsidRDefault="00550235" w:rsidP="004940E9">
            <w:pPr>
              <w:spacing w:after="0"/>
              <w:jc w:val="center"/>
              <w:rPr>
                <w:b/>
              </w:rPr>
            </w:pPr>
            <w:r w:rsidRPr="004940E9">
              <w:rPr>
                <w:b/>
              </w:rPr>
              <w:t>Revenue share</w:t>
            </w:r>
          </w:p>
        </w:tc>
        <w:tc>
          <w:tcPr>
            <w:tcW w:w="850" w:type="pct"/>
            <w:vAlign w:val="center"/>
          </w:tcPr>
          <w:p w14:paraId="28AD47D6" w14:textId="77777777" w:rsidR="00791956" w:rsidRPr="004940E9" w:rsidRDefault="00550235" w:rsidP="004940E9">
            <w:pPr>
              <w:spacing w:after="0"/>
              <w:jc w:val="center"/>
              <w:rPr>
                <w:b/>
              </w:rPr>
            </w:pPr>
            <w:r w:rsidRPr="004940E9">
              <w:rPr>
                <w:b/>
              </w:rPr>
              <w:t>Risk premium</w:t>
            </w:r>
          </w:p>
        </w:tc>
        <w:tc>
          <w:tcPr>
            <w:tcW w:w="787" w:type="pct"/>
            <w:vAlign w:val="center"/>
          </w:tcPr>
          <w:p w14:paraId="1AA9B71C" w14:textId="77777777" w:rsidR="00791956" w:rsidRPr="004940E9" w:rsidRDefault="00550235" w:rsidP="004940E9">
            <w:pPr>
              <w:spacing w:after="0"/>
              <w:jc w:val="center"/>
              <w:rPr>
                <w:b/>
              </w:rPr>
            </w:pPr>
            <w:r w:rsidRPr="004940E9">
              <w:rPr>
                <w:b/>
              </w:rPr>
              <w:t>Contribution</w:t>
            </w:r>
          </w:p>
        </w:tc>
      </w:tr>
      <w:tr w:rsidR="00791956" w14:paraId="1FB944E2" w14:textId="77777777" w:rsidTr="004940E9">
        <w:trPr>
          <w:cantSplit/>
        </w:trPr>
        <w:tc>
          <w:tcPr>
            <w:tcW w:w="2499" w:type="pct"/>
            <w:vAlign w:val="center"/>
          </w:tcPr>
          <w:p w14:paraId="36F8CE19" w14:textId="77777777" w:rsidR="00791956" w:rsidRDefault="00550235" w:rsidP="004940E9">
            <w:pPr>
              <w:spacing w:after="0"/>
              <w:jc w:val="left"/>
            </w:pPr>
            <w:r>
              <w:t>Canada</w:t>
            </w:r>
          </w:p>
        </w:tc>
        <w:tc>
          <w:tcPr>
            <w:tcW w:w="863" w:type="pct"/>
            <w:vAlign w:val="center"/>
          </w:tcPr>
          <w:p w14:paraId="020765EF" w14:textId="77777777" w:rsidR="00791956" w:rsidRDefault="00550235" w:rsidP="004940E9">
            <w:pPr>
              <w:spacing w:after="0"/>
              <w:jc w:val="right"/>
            </w:pPr>
            <w:r>
              <w:t>40%</w:t>
            </w:r>
          </w:p>
        </w:tc>
        <w:tc>
          <w:tcPr>
            <w:tcW w:w="850" w:type="pct"/>
            <w:vAlign w:val="center"/>
          </w:tcPr>
          <w:p w14:paraId="70DE34EC" w14:textId="77777777" w:rsidR="00791956" w:rsidRDefault="00550235" w:rsidP="004940E9">
            <w:pPr>
              <w:spacing w:after="0"/>
              <w:jc w:val="right"/>
            </w:pPr>
            <w:r>
              <w:t>4.2%</w:t>
            </w:r>
          </w:p>
        </w:tc>
        <w:tc>
          <w:tcPr>
            <w:tcW w:w="787" w:type="pct"/>
            <w:vAlign w:val="center"/>
          </w:tcPr>
          <w:p w14:paraId="17A13D4C" w14:textId="77777777" w:rsidR="00791956" w:rsidRDefault="00550235" w:rsidP="004940E9">
            <w:pPr>
              <w:spacing w:after="0"/>
              <w:jc w:val="right"/>
            </w:pPr>
            <w:r>
              <w:t>1.68 pp</w:t>
            </w:r>
          </w:p>
        </w:tc>
      </w:tr>
      <w:tr w:rsidR="00791956" w14:paraId="05712B63" w14:textId="77777777" w:rsidTr="004940E9">
        <w:trPr>
          <w:cantSplit/>
        </w:trPr>
        <w:tc>
          <w:tcPr>
            <w:tcW w:w="2499" w:type="pct"/>
            <w:vAlign w:val="center"/>
          </w:tcPr>
          <w:p w14:paraId="21945564" w14:textId="77777777" w:rsidR="00791956" w:rsidRDefault="00550235" w:rsidP="004940E9">
            <w:pPr>
              <w:spacing w:after="0"/>
              <w:jc w:val="left"/>
            </w:pPr>
            <w:r>
              <w:t>Brazil</w:t>
            </w:r>
          </w:p>
        </w:tc>
        <w:tc>
          <w:tcPr>
            <w:tcW w:w="863" w:type="pct"/>
            <w:vAlign w:val="center"/>
          </w:tcPr>
          <w:p w14:paraId="529C9526" w14:textId="77777777" w:rsidR="00791956" w:rsidRDefault="00550235" w:rsidP="004940E9">
            <w:pPr>
              <w:spacing w:after="0"/>
              <w:jc w:val="right"/>
            </w:pPr>
            <w:r>
              <w:t>60%</w:t>
            </w:r>
          </w:p>
        </w:tc>
        <w:tc>
          <w:tcPr>
            <w:tcW w:w="850" w:type="pct"/>
            <w:vAlign w:val="center"/>
          </w:tcPr>
          <w:p w14:paraId="5C12B901" w14:textId="77777777" w:rsidR="00791956" w:rsidRDefault="00550235" w:rsidP="004940E9">
            <w:pPr>
              <w:spacing w:after="0"/>
              <w:jc w:val="right"/>
            </w:pPr>
            <w:r>
              <w:t>7.1%</w:t>
            </w:r>
          </w:p>
        </w:tc>
        <w:tc>
          <w:tcPr>
            <w:tcW w:w="787" w:type="pct"/>
            <w:vAlign w:val="center"/>
          </w:tcPr>
          <w:p w14:paraId="55505246" w14:textId="77777777" w:rsidR="00791956" w:rsidRDefault="00550235" w:rsidP="004940E9">
            <w:pPr>
              <w:spacing w:after="0"/>
              <w:jc w:val="right"/>
            </w:pPr>
            <w:r>
              <w:t>4.26 pp</w:t>
            </w:r>
          </w:p>
        </w:tc>
      </w:tr>
      <w:tr w:rsidR="00791956" w14:paraId="4B5C9620" w14:textId="77777777" w:rsidTr="004940E9">
        <w:trPr>
          <w:cantSplit/>
        </w:trPr>
        <w:tc>
          <w:tcPr>
            <w:tcW w:w="2499" w:type="pct"/>
            <w:vAlign w:val="center"/>
          </w:tcPr>
          <w:p w14:paraId="619A3447" w14:textId="77777777" w:rsidR="00791956" w:rsidRDefault="00550235" w:rsidP="004940E9">
            <w:pPr>
              <w:spacing w:after="0"/>
              <w:jc w:val="left"/>
            </w:pPr>
            <w:r>
              <w:rPr>
                <w:b/>
                <w:bCs/>
              </w:rPr>
              <w:t>Total</w:t>
            </w:r>
          </w:p>
        </w:tc>
        <w:tc>
          <w:tcPr>
            <w:tcW w:w="863" w:type="pct"/>
            <w:vAlign w:val="center"/>
          </w:tcPr>
          <w:p w14:paraId="73D47449" w14:textId="77777777" w:rsidR="00791956" w:rsidRDefault="00550235" w:rsidP="004940E9">
            <w:pPr>
              <w:spacing w:after="0"/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850" w:type="pct"/>
            <w:vAlign w:val="center"/>
          </w:tcPr>
          <w:p w14:paraId="387E1552" w14:textId="77777777" w:rsidR="00791956" w:rsidRDefault="00791956" w:rsidP="004940E9">
            <w:pPr>
              <w:spacing w:after="0"/>
            </w:pPr>
          </w:p>
        </w:tc>
        <w:tc>
          <w:tcPr>
            <w:tcW w:w="787" w:type="pct"/>
            <w:vAlign w:val="center"/>
          </w:tcPr>
          <w:p w14:paraId="5804CDEB" w14:textId="77777777" w:rsidR="00791956" w:rsidRDefault="00550235" w:rsidP="004940E9">
            <w:pPr>
              <w:spacing w:after="0"/>
              <w:jc w:val="right"/>
            </w:pPr>
            <w:r>
              <w:rPr>
                <w:b/>
                <w:bCs/>
              </w:rPr>
              <w:t>5.94 pp</w:t>
            </w:r>
          </w:p>
        </w:tc>
      </w:tr>
    </w:tbl>
    <w:p w14:paraId="39F816BA" w14:textId="77777777" w:rsidR="00791956" w:rsidRDefault="00550235">
      <w:pPr>
        <w:pStyle w:val="BodyText"/>
      </w:pPr>
      <w:r>
        <w:rPr>
          <w:i/>
          <w:iCs/>
        </w:rPr>
        <w:t>Note:</w:t>
      </w:r>
      <w:r>
        <w:t xml:space="preserve"> Values are illustrative and exist only to exercise the document styles. Revenue shares should be reconciled to the firm’s geographic segment disclosures.</w:t>
      </w:r>
      <w:r>
        <w:footnoteReference w:id="1"/>
      </w:r>
    </w:p>
    <w:p w14:paraId="7D8CB3E2" w14:textId="77777777" w:rsidR="00791956" w:rsidRDefault="00550235">
      <w:pPr>
        <w:pStyle w:val="Heading2"/>
      </w:pPr>
      <w:bookmarkStart w:id="4" w:name="evidence-and-citation"/>
      <w:r>
        <w:t>Evidence and citation</w:t>
      </w:r>
    </w:p>
    <w:p w14:paraId="19DDEEE6" w14:textId="77777777" w:rsidR="00791956" w:rsidRDefault="00550235">
      <w:r>
        <w:t>Identification, estimation, and interpretation should be separated in the prose. Standard treatments of applied econometric design and panel-data methods provide the methodological background (</w:t>
      </w:r>
      <w:hyperlink w:anchor="ref-angrist2009">
        <w:r>
          <w:t>Angrist and Pischke 2009</w:t>
        </w:r>
      </w:hyperlink>
      <w:r>
        <w:t xml:space="preserve">; </w:t>
      </w:r>
      <w:hyperlink w:anchor="ref-wooldridge2010">
        <w:r>
          <w:t>Wooldridge 2010</w:t>
        </w:r>
      </w:hyperlink>
      <w:r>
        <w:t>).</w:t>
      </w:r>
    </w:p>
    <w:p w14:paraId="7222A287" w14:textId="77777777" w:rsidR="00791956" w:rsidRDefault="00550235" w:rsidP="000A2DDC">
      <w:pPr>
        <w:pStyle w:val="Heading1"/>
        <w:spacing w:after="360"/>
      </w:pPr>
      <w:bookmarkStart w:id="5" w:name="bibliography"/>
      <w:bookmarkEnd w:id="3"/>
      <w:bookmarkEnd w:id="4"/>
      <w:r>
        <w:t>References</w:t>
      </w:r>
    </w:p>
    <w:p w14:paraId="35C1FEFE" w14:textId="77777777" w:rsidR="00791956" w:rsidRDefault="00550235">
      <w:pPr>
        <w:pStyle w:val="Bibliography1"/>
      </w:pPr>
      <w:bookmarkStart w:id="6" w:name="ref-angrist2009"/>
      <w:bookmarkStart w:id="7" w:name="refs"/>
      <w:r>
        <w:t xml:space="preserve">Angrist, Joshua D., and Jörn-Steffen Pischke. 2009. </w:t>
      </w:r>
      <w:r>
        <w:rPr>
          <w:i/>
          <w:iCs/>
        </w:rPr>
        <w:t>Mostly Harmless Econometrics: An Empiricist’s Companion</w:t>
      </w:r>
      <w:r>
        <w:t>. Princeton University Press.</w:t>
      </w:r>
    </w:p>
    <w:p w14:paraId="6E602A1E" w14:textId="77777777" w:rsidR="00791956" w:rsidRDefault="00550235">
      <w:pPr>
        <w:pStyle w:val="Bibliography1"/>
      </w:pPr>
      <w:bookmarkStart w:id="8" w:name="ref-wooldridge2010"/>
      <w:bookmarkEnd w:id="6"/>
      <w:r>
        <w:t xml:space="preserve">Wooldridge, Jeffrey M. 2010. </w:t>
      </w:r>
      <w:r>
        <w:rPr>
          <w:i/>
          <w:iCs/>
        </w:rPr>
        <w:t>Econometric Analysis of Cross Section and Panel Data</w:t>
      </w:r>
      <w:r>
        <w:t>. 2nd ed. MIT Press.</w:t>
      </w:r>
      <w:bookmarkEnd w:id="5"/>
      <w:bookmarkEnd w:id="7"/>
      <w:bookmarkEnd w:id="8"/>
    </w:p>
    <w:sectPr w:rsidR="00791956">
      <w:footerReference w:type="default" r:id="rId7"/>
      <w:pgSz w:w="11906" w:h="16838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745CA" w14:textId="77777777" w:rsidR="006D289E" w:rsidRDefault="006D289E">
      <w:pPr>
        <w:spacing w:after="0" w:line="240" w:lineRule="auto"/>
      </w:pPr>
      <w:r>
        <w:separator/>
      </w:r>
    </w:p>
  </w:endnote>
  <w:endnote w:type="continuationSeparator" w:id="0">
    <w:p w14:paraId="5E3067F7" w14:textId="77777777" w:rsidR="006D289E" w:rsidRDefault="006D2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F57F" w14:textId="77777777" w:rsidR="00791956" w:rsidRDefault="00550235">
    <w:pPr>
      <w:pStyle w:val="Footer"/>
      <w:jc w:val="center"/>
    </w:pPr>
    <w:r>
      <w:rPr>
        <w:color w:val="555555"/>
        <w:sz w:val="18"/>
      </w:rPr>
      <w:fldChar w:fldCharType="begin"/>
    </w:r>
    <w:r>
      <w:rPr>
        <w:color w:val="555555"/>
        <w:sz w:val="18"/>
      </w:rPr>
      <w:instrText xml:space="preserve"> PAGE </w:instrText>
    </w:r>
    <w:r>
      <w:rPr>
        <w:color w:val="555555"/>
        <w:sz w:val="18"/>
      </w:rPr>
      <w:fldChar w:fldCharType="separate"/>
    </w:r>
    <w:r>
      <w:rPr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41B0" w14:textId="77777777" w:rsidR="006D289E" w:rsidRDefault="006D289E">
      <w:pPr>
        <w:spacing w:after="0" w:line="240" w:lineRule="auto"/>
      </w:pPr>
      <w:r>
        <w:separator/>
      </w:r>
    </w:p>
  </w:footnote>
  <w:footnote w:type="continuationSeparator" w:id="0">
    <w:p w14:paraId="21731684" w14:textId="77777777" w:rsidR="006D289E" w:rsidRDefault="006D289E">
      <w:pPr>
        <w:spacing w:after="0" w:line="240" w:lineRule="auto"/>
      </w:pPr>
      <w:r>
        <w:continuationSeparator/>
      </w:r>
    </w:p>
  </w:footnote>
  <w:footnote w:id="1">
    <w:p w14:paraId="671FE375" w14:textId="77777777" w:rsidR="00791956" w:rsidRDefault="00550235">
      <w:r>
        <w:footnoteRef/>
      </w:r>
      <w:r>
        <w:t xml:space="preserve"> An explanatory footnote can hold a measurement caveat without interrupting the main argument. Source citations belong in the bibliography instead.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45E47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093C88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D3E0D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42511479">
    <w:abstractNumId w:val="8"/>
  </w:num>
  <w:num w:numId="2" w16cid:durableId="1893298738">
    <w:abstractNumId w:val="6"/>
  </w:num>
  <w:num w:numId="3" w16cid:durableId="1371495336">
    <w:abstractNumId w:val="5"/>
  </w:num>
  <w:num w:numId="4" w16cid:durableId="2138065693">
    <w:abstractNumId w:val="4"/>
  </w:num>
  <w:num w:numId="5" w16cid:durableId="810293820">
    <w:abstractNumId w:val="7"/>
  </w:num>
  <w:num w:numId="6" w16cid:durableId="1348753292">
    <w:abstractNumId w:val="3"/>
  </w:num>
  <w:num w:numId="7" w16cid:durableId="1245215097">
    <w:abstractNumId w:val="2"/>
  </w:num>
  <w:num w:numId="8" w16cid:durableId="1043138299">
    <w:abstractNumId w:val="1"/>
  </w:num>
  <w:num w:numId="9" w16cid:durableId="1038625160">
    <w:abstractNumId w:val="0"/>
  </w:num>
  <w:num w:numId="10" w16cid:durableId="450981122">
    <w:abstractNumId w:val="9"/>
  </w:num>
  <w:num w:numId="11" w16cid:durableId="1500193510">
    <w:abstractNumId w:val="10"/>
  </w:num>
  <w:num w:numId="12" w16cid:durableId="61271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DDC"/>
    <w:rsid w:val="000D2E0F"/>
    <w:rsid w:val="001429EC"/>
    <w:rsid w:val="0015074B"/>
    <w:rsid w:val="0029639D"/>
    <w:rsid w:val="002E6A66"/>
    <w:rsid w:val="00326F90"/>
    <w:rsid w:val="00397835"/>
    <w:rsid w:val="00403C4C"/>
    <w:rsid w:val="004940E9"/>
    <w:rsid w:val="004A5CA3"/>
    <w:rsid w:val="00550235"/>
    <w:rsid w:val="006D289E"/>
    <w:rsid w:val="006F7142"/>
    <w:rsid w:val="00791956"/>
    <w:rsid w:val="00AA1D8D"/>
    <w:rsid w:val="00B47730"/>
    <w:rsid w:val="00B876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B6140"/>
  <w15:docId w15:val="{A63ECF42-2AE7-41F6-A36A-74A74F78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 w:cs="Times New Roman"/>
      <w:color w:val="1C1C1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line="240" w:lineRule="auto"/>
      <w:jc w:val="center"/>
    </w:pPr>
    <w:rPr>
      <w:rFonts w:asciiTheme="majorHAnsi" w:eastAsiaTheme="majorEastAsia" w:hAnsiTheme="majorHAnsi" w:cstheme="majorBidi"/>
      <w:i/>
      <w:iCs/>
      <w:color w:val="555555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keepNext/>
      <w:spacing w:before="80" w:after="160" w:line="240" w:lineRule="auto"/>
      <w:jc w:val="center"/>
    </w:pPr>
    <w:rPr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">
    <w:name w:val="Abstract"/>
    <w:basedOn w:val="Normal"/>
    <w:pPr>
      <w:spacing w:after="160" w:line="264" w:lineRule="auto"/>
      <w:ind w:left="504" w:right="504"/>
    </w:pPr>
    <w:rPr>
      <w:sz w:val="21"/>
    </w:rPr>
  </w:style>
  <w:style w:type="paragraph" w:customStyle="1" w:styleId="Bibliography1">
    <w:name w:val="Bibliography1"/>
    <w:basedOn w:val="Normal"/>
    <w:pPr>
      <w:spacing w:after="60" w:line="240" w:lineRule="auto"/>
      <w:ind w:left="360" w:hanging="360"/>
    </w:pPr>
    <w:rPr>
      <w:sz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Econometric Article Style Reference</dc:title>
  <dc:creator>Author name | Affiliation</dc:creator>
  <cp:keywords/>
  <cp:lastModifiedBy>Zaragustra Lukratus</cp:lastModifiedBy>
  <cp:revision>5</cp:revision>
  <dcterms:created xsi:type="dcterms:W3CDTF">2026-08-24T12:13:00Z</dcterms:created>
  <dcterms:modified xsi:type="dcterms:W3CDTF">2026-08-24T12:23:00Z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document demonstrates reusable Word styles and semantic structures for an empirical economics manuscript. Its equations, headings, emphasis, lists, links, table, notes, citations, and bibliography remain editable.</vt:lpwstr>
  </property>
  <property fmtid="{D5CDD505-2E9C-101B-9397-08002B2CF9AE}" pid="3" name="bibliography">
    <vt:lpwstr/>
  </property>
  <property fmtid="{D5CDD505-2E9C-101B-9397-08002B2CF9AE}" pid="4" name="date">
    <vt:lpwstr>v0.1</vt:lpwstr>
  </property>
  <property fmtid="{D5CDD505-2E9C-101B-9397-08002B2CF9AE}" pid="5" name="link-citations">
    <vt:lpwstr>True</vt:lpwstr>
  </property>
  <property fmtid="{D5CDD505-2E9C-101B-9397-08002B2CF9AE}" pid="6" name="reference-section-title">
    <vt:lpwstr>References</vt:lpwstr>
  </property>
  <property fmtid="{D5CDD505-2E9C-101B-9397-08002B2CF9AE}" pid="7" name="subtitle">
    <vt:lpwstr>Editable manuscript structures for empirical research</vt:lpwstr>
  </property>
</Properties>
</file>