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تقييم جاهزية ملف سوق الموبايلات للتطوير</w:t>
      </w:r>
    </w:p>
    <w:p>
      <w:pPr>
        <w:spacing w:after="400"/>
        <w:jc w:val="center"/>
      </w:pPr>
      <w:r>
        <w:rPr>
          <w:color w:val="666666"/>
          <w:sz w:val="28"/>
          <w:szCs w:val="28"/>
        </w:rPr>
        <w:t xml:space="preserve">Mobile Marketplace Development Readiness Assessment</w:t>
      </w:r>
    </w:p>
    <w:p>
      <w:pPr>
        <w:pStyle w:val="Heading1"/>
      </w:pPr>
      <w:r>
        <w:t xml:space="preserve">الملخص التنفيذي</w:t>
      </w:r>
    </w:p>
    <w:p>
      <w:pPr>
        <w:spacing w:after="200"/>
      </w:pPr>
      <w:r>
        <w:t xml:space="preserve">الملف الحالي </w:t>
      </w:r>
      <w:r>
        <w:rPr>
          <w:b/>
          <w:bCs/>
        </w:rPr>
        <w:t xml:space="preserve">ممتاز من الناحية الاستراتيجية والتجارية</w:t>
      </w:r>
      <w:r>
        <w:t xml:space="preserve"> ويحتوي على تحليل سوق شامل ومعلومات تنافسية قيمة. لكنه </w:t>
      </w:r>
      <w:r>
        <w:rPr>
          <w:b/>
          <w:bCs/>
          <w:color w:val="c0392b"/>
        </w:rPr>
        <w:t xml:space="preserve">يفتقر للمواصفات التقنية التفصيلية</w:t>
      </w:r>
      <w:r>
        <w:t xml:space="preserve"> اللازمة لـ Claude Code للبدء في التطوير مباشرة.</w:t>
      </w:r>
    </w:p>
    <w:p>
      <w:pPr>
        <w:pStyle w:val="Heading1"/>
      </w:pPr>
      <w:r>
        <w:t xml:space="preserve">تقييم الجاهزية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الجانب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التقييم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الحالة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تحليل السوق والفرصة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color w:val="27ae60"/>
              </w:rPr>
              <w:t xml:space="preserve">95%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</w:tcPr>
          <w:p>
            <w:pPr>
              <w:jc w:val="center"/>
            </w:pPr>
            <w:r>
              <w:rPr>
                <w:color w:val="27ae60"/>
              </w:rPr>
              <w:t xml:space="preserve">ممتاز ✓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تحليل المنافسين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color w:val="27ae60"/>
              </w:rPr>
              <w:t xml:space="preserve">90%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</w:tcPr>
          <w:p>
            <w:pPr>
              <w:jc w:val="center"/>
            </w:pPr>
            <w:r>
              <w:rPr>
                <w:color w:val="27ae60"/>
              </w:rPr>
              <w:t xml:space="preserve">ممتاز ✓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الميزات التنافسية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color w:val="27ae60"/>
              </w:rPr>
              <w:t xml:space="preserve">85%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</w:tcPr>
          <w:p>
            <w:pPr>
              <w:jc w:val="center"/>
            </w:pPr>
            <w:r>
              <w:rPr>
                <w:color w:val="27ae60"/>
              </w:rPr>
              <w:t xml:space="preserve">جيد جداً ✓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المواصفات التقنية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color w:val="c0392b"/>
              </w:rPr>
              <w:t xml:space="preserve">30%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</w:tcPr>
          <w:p>
            <w:pPr>
              <w:jc w:val="center"/>
            </w:pPr>
            <w:r>
              <w:rPr>
                <w:color w:val="c0392b"/>
              </w:rPr>
              <w:t xml:space="preserve">يحتاج تطوير ✗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User Stories / Use Cases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color w:val="c0392b"/>
              </w:rPr>
              <w:t xml:space="preserve">0%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</w:tcPr>
          <w:p>
            <w:pPr>
              <w:jc w:val="center"/>
            </w:pPr>
            <w:r>
              <w:rPr>
                <w:color w:val="c0392b"/>
              </w:rPr>
              <w:t xml:space="preserve">غير موجود ✗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Database Schema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color w:val="c0392b"/>
              </w:rPr>
              <w:t xml:space="preserve">0%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</w:tcPr>
          <w:p>
            <w:pPr>
              <w:jc w:val="center"/>
            </w:pPr>
            <w:r>
              <w:rPr>
                <w:color w:val="c0392b"/>
              </w:rPr>
              <w:t xml:space="preserve">غير موجود ✗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API Specifications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color w:val="c0392b"/>
              </w:rPr>
              <w:t xml:space="preserve">10%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</w:tcPr>
          <w:p>
            <w:pPr>
              <w:jc w:val="center"/>
            </w:pPr>
            <w:r>
              <w:rPr>
                <w:color w:val="c0392b"/>
              </w:rPr>
              <w:t xml:space="preserve">يحتاج تطوير ✗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خوارزمية المقايضة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color w:val="c0392b"/>
              </w:rPr>
              <w:t xml:space="preserve">5%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</w:tcPr>
          <w:p>
            <w:pPr>
              <w:jc w:val="center"/>
            </w:pPr>
            <w:r>
              <w:rPr>
                <w:color w:val="c0392b"/>
              </w:rPr>
              <w:t xml:space="preserve">مذكورة فقط ✗</w:t>
            </w:r>
          </w:p>
        </w:tc>
      </w:tr>
    </w:tbl>
    <w:p>
      <w:pPr>
        <w:pStyle w:val="Heading1"/>
      </w:pPr>
      <w:r>
        <w:t xml:space="preserve">ما هو موجود وممتاز ✓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تحليل السوق: </w:t>
      </w:r>
      <w:r>
        <w:t xml:space="preserve">حجم 3.3 مليار دولار، نسب النمو، شرائح الأسعار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تحليل المنافسين: </w:t>
      </w:r>
      <w:r>
        <w:t xml:space="preserve">Noon, Amazon, Jumia, OLX مع نقاط القوة والضعف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الفجوات السوقية: </w:t>
      </w:r>
      <w:r>
        <w:t xml:space="preserve">7 فجوات محددة بوضوح تمثل فرص Xchange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أفضل الممارسات: </w:t>
      </w:r>
      <w:r>
        <w:t xml:space="preserve">Swappa, Back Market كمراجع عالمية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منع الاحتيال: </w:t>
      </w:r>
      <w:r>
        <w:t xml:space="preserve">أنواع النصب الشائعة وحلولها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بوابات الدفع: </w:t>
      </w:r>
      <w:r>
        <w:t xml:space="preserve">فوري، إنستاباي، BNPL providers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شركات التوصيل: </w:t>
      </w:r>
      <w:r>
        <w:t xml:space="preserve">Bosta, Aramex مع الأسعار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APIs خارجية: </w:t>
      </w:r>
      <w:r>
        <w:t xml:space="preserve">IMEI.org, NSYS, Phonecheck مع التكاليف</w:t>
      </w:r>
    </w:p>
    <w:p>
      <w:pPr>
        <w:pStyle w:val="Heading1"/>
      </w:pPr>
      <w:r>
        <w:t xml:space="preserve">ما ينقص للتطوير ✗</w:t>
      </w:r>
    </w:p>
    <w:p>
      <w:pPr>
        <w:pStyle w:val="Heading2"/>
      </w:pPr>
      <w:r>
        <w:t xml:space="preserve">1. المواصفات التقنية التفصيلية</w:t>
      </w:r>
    </w:p>
    <w:p>
      <w:pPr>
        <w:pStyle w:val="ListParagraph"/>
        <w:numPr>
          <w:ilvl w:val="0"/>
          <w:numId w:val="3"/>
        </w:numPr>
      </w:pPr>
      <w:r>
        <w:t xml:space="preserve">Database Schema: جداول المستخدمين، الإعلانات، المعاملات، التقييمات</w:t>
      </w:r>
    </w:p>
    <w:p>
      <w:pPr>
        <w:pStyle w:val="ListParagraph"/>
        <w:numPr>
          <w:ilvl w:val="0"/>
          <w:numId w:val="3"/>
        </w:numPr>
      </w:pPr>
      <w:r>
        <w:t xml:space="preserve">API Endpoints: تفصيل كل endpoint مع request/response</w:t>
      </w:r>
    </w:p>
    <w:p>
      <w:pPr>
        <w:pStyle w:val="ListParagraph"/>
        <w:numPr>
          <w:ilvl w:val="0"/>
          <w:numId w:val="3"/>
        </w:numPr>
      </w:pPr>
      <w:r>
        <w:t xml:space="preserve">System Architecture: Frontend, Backend, Services diagram</w:t>
      </w:r>
    </w:p>
    <w:p>
      <w:pPr>
        <w:pStyle w:val="ListParagraph"/>
        <w:numPr>
          <w:ilvl w:val="0"/>
          <w:numId w:val="3"/>
        </w:numPr>
      </w:pPr>
      <w:r>
        <w:t xml:space="preserve">Technology Stack: اختيار محدد للغات والأدوات</w:t>
      </w:r>
    </w:p>
    <w:p>
      <w:pPr>
        <w:pStyle w:val="Heading2"/>
      </w:pPr>
      <w:r>
        <w:t xml:space="preserve">2. User Stories و Use Cases</w:t>
      </w:r>
    </w:p>
    <w:p>
      <w:pPr>
        <w:pStyle w:val="ListParagraph"/>
        <w:numPr>
          <w:ilvl w:val="0"/>
          <w:numId w:val="3"/>
        </w:numPr>
      </w:pPr>
      <w:r>
        <w:t xml:space="preserve">رحلة البائع: من التسجيل حتى استلام المال</w:t>
      </w:r>
    </w:p>
    <w:p>
      <w:pPr>
        <w:pStyle w:val="ListParagraph"/>
        <w:numPr>
          <w:ilvl w:val="0"/>
          <w:numId w:val="3"/>
        </w:numPr>
      </w:pPr>
      <w:r>
        <w:t xml:space="preserve">رحلة المشتري: من البحث حتى استلام الجهاز</w:t>
      </w:r>
    </w:p>
    <w:p>
      <w:pPr>
        <w:pStyle w:val="ListParagraph"/>
        <w:numPr>
          <w:ilvl w:val="0"/>
          <w:numId w:val="3"/>
        </w:numPr>
      </w:pPr>
      <w:r>
        <w:t xml:space="preserve">رحلة المقايضة: خوارزمية المطابقة متعددة الأطراف</w:t>
      </w:r>
    </w:p>
    <w:p>
      <w:pPr>
        <w:pStyle w:val="ListParagraph"/>
        <w:numPr>
          <w:ilvl w:val="0"/>
          <w:numId w:val="3"/>
        </w:numPr>
      </w:pPr>
      <w:r>
        <w:t xml:space="preserve">سيناريوهات النزاعات: خطوات الحل</w:t>
      </w:r>
    </w:p>
    <w:p>
      <w:pPr>
        <w:pStyle w:val="Heading2"/>
      </w:pPr>
      <w:r>
        <w:t xml:space="preserve">3. خوارزمية المقايضة (الميزة التنافسية الأهم)</w:t>
      </w:r>
    </w:p>
    <w:p>
      <w:r>
        <w:rPr>
          <w:color w:val="c0392b"/>
        </w:rPr>
        <w:t xml:space="preserve">الملف يذكر المقايضة كميزة فريدة لكن لا يوجد أي تفصيل تقني:</w:t>
      </w:r>
    </w:p>
    <w:p>
      <w:pPr>
        <w:pStyle w:val="ListParagraph"/>
        <w:numPr>
          <w:ilvl w:val="0"/>
          <w:numId w:val="3"/>
        </w:numPr>
      </w:pPr>
      <w:r>
        <w:t xml:space="preserve">كيف تعمل المطابقة بين طرفين؟</w:t>
      </w:r>
    </w:p>
    <w:p>
      <w:pPr>
        <w:pStyle w:val="ListParagraph"/>
        <w:numPr>
          <w:ilvl w:val="0"/>
          <w:numId w:val="3"/>
        </w:numPr>
      </w:pPr>
      <w:r>
        <w:t xml:space="preserve">كيف تعمل المطابقة متعددة الأطراف (A→B→C→A)؟</w:t>
      </w:r>
    </w:p>
    <w:p>
      <w:pPr>
        <w:pStyle w:val="ListParagraph"/>
        <w:numPr>
          <w:ilvl w:val="0"/>
          <w:numId w:val="3"/>
        </w:numPr>
      </w:pPr>
      <w:r>
        <w:t xml:space="preserve">كيف يتم حساب فروق القيمة؟</w:t>
      </w:r>
    </w:p>
    <w:p>
      <w:pPr>
        <w:pStyle w:val="ListParagraph"/>
        <w:numPr>
          <w:ilvl w:val="0"/>
          <w:numId w:val="3"/>
        </w:numPr>
      </w:pPr>
      <w:r>
        <w:t xml:space="preserve">ما هي معايير المطابقة (الموقع، الحالة، السعر)؟</w:t>
      </w:r>
    </w:p>
    <w:p>
      <w:pPr>
        <w:pStyle w:val="Heading2"/>
      </w:pPr>
      <w:r>
        <w:t xml:space="preserve">4. نموذج الإيرادات التفصيلي</w:t>
      </w:r>
    </w:p>
    <w:p>
      <w:pPr>
        <w:pStyle w:val="ListParagraph"/>
        <w:numPr>
          <w:ilvl w:val="0"/>
          <w:numId w:val="3"/>
        </w:numPr>
      </w:pPr>
      <w:r>
        <w:t xml:space="preserve">هيكل العمولات: نسب محددة لكل نوع معاملة</w:t>
      </w:r>
    </w:p>
    <w:p>
      <w:pPr>
        <w:pStyle w:val="ListParagraph"/>
        <w:numPr>
          <w:ilvl w:val="0"/>
          <w:numId w:val="3"/>
        </w:numPr>
      </w:pPr>
      <w:r>
        <w:t xml:space="preserve">خدمات Premium: ماذا تشمل وبأي سعر</w:t>
      </w:r>
    </w:p>
    <w:p>
      <w:pPr>
        <w:pStyle w:val="ListParagraph"/>
        <w:numPr>
          <w:ilvl w:val="0"/>
          <w:numId w:val="3"/>
        </w:numPr>
      </w:pPr>
      <w:r>
        <w:t xml:space="preserve">إعلانات مميزة: التسعير والمدة</w:t>
      </w:r>
    </w:p>
    <w:p>
      <w:pPr>
        <w:pStyle w:val="ListParagraph"/>
        <w:numPr>
          <w:ilvl w:val="0"/>
          <w:numId w:val="3"/>
        </w:numPr>
      </w:pPr>
      <w:r>
        <w:t xml:space="preserve">الضمان الممتد: شراكات وهوامش</w:t>
      </w:r>
    </w:p>
    <w:p>
      <w:pPr>
        <w:pStyle w:val="Heading2"/>
      </w:pPr>
      <w:r>
        <w:t xml:space="preserve">5. متطلبات الأمان</w:t>
      </w:r>
    </w:p>
    <w:p>
      <w:pPr>
        <w:pStyle w:val="ListParagraph"/>
        <w:numPr>
          <w:ilvl w:val="0"/>
          <w:numId w:val="3"/>
        </w:numPr>
      </w:pPr>
      <w:r>
        <w:t xml:space="preserve">Authentication: OAuth, JWT, 2FA</w:t>
      </w:r>
    </w:p>
    <w:p>
      <w:pPr>
        <w:pStyle w:val="ListParagraph"/>
        <w:numPr>
          <w:ilvl w:val="0"/>
          <w:numId w:val="3"/>
        </w:numPr>
      </w:pPr>
      <w:r>
        <w:t xml:space="preserve">Data Encryption: في النقل والتخزين</w:t>
      </w:r>
    </w:p>
    <w:p>
      <w:pPr>
        <w:pStyle w:val="ListParagraph"/>
        <w:numPr>
          <w:ilvl w:val="0"/>
          <w:numId w:val="3"/>
        </w:numPr>
      </w:pPr>
      <w:r>
        <w:t xml:space="preserve">PCI Compliance: لمعالجة الدفع</w:t>
      </w:r>
    </w:p>
    <w:p>
      <w:pPr>
        <w:pStyle w:val="ListParagraph"/>
        <w:numPr>
          <w:ilvl w:val="0"/>
          <w:numId w:val="3"/>
        </w:numPr>
      </w:pPr>
      <w:r>
        <w:t xml:space="preserve">Rate Limiting: حماية من الهجمات</w:t>
      </w:r>
    </w:p>
    <w:p>
      <w:pPr>
        <w:pStyle w:val="Heading1"/>
      </w:pPr>
      <w:r>
        <w:t xml:space="preserve">التوصيات</w:t>
      </w:r>
    </w:p>
    <w:p>
      <w:pPr>
        <w:shd w:fill="d5f5e3" w:val="clear"/>
        <w:spacing w:before="200" w:after="200"/>
      </w:pPr>
      <w:r>
        <w:rPr>
          <w:b/>
          <w:bCs/>
        </w:rPr>
        <w:t xml:space="preserve">الحل: </w:t>
      </w:r>
      <w:r>
        <w:t xml:space="preserve">سأقوم بإنشاء ملف مواصفات تقنية تكميلي (Technical Specs) يحتوي على كل ما ينقص ليكون Claude Code قادراً على البدء فوراً.</w:t>
      </w:r>
    </w:p>
    <w:p>
      <w:pPr>
        <w:pStyle w:val="Heading2"/>
      </w:pPr>
      <w:r>
        <w:t xml:space="preserve">الملفات المطلوب إنشاؤها: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TECHNICAL_SPECS.md: </w:t>
      </w:r>
      <w:r>
        <w:t xml:space="preserve">المواصفات التقنية الكاملة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DATABASE_SCHEMA.sql: </w:t>
      </w:r>
      <w:r>
        <w:t xml:space="preserve">هيكل قاعدة البيانات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API_SPECS.yaml: </w:t>
      </w:r>
      <w:r>
        <w:t xml:space="preserve">مواصفات OpenAPI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BARTER_ALGORITHM.md: </w:t>
      </w:r>
      <w:r>
        <w:t xml:space="preserve">تفصيل خوارزمية المقايضة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USER_STORIES.md: </w:t>
      </w:r>
      <w:r>
        <w:t xml:space="preserve">سيناريوهات المستخدمين</w:t>
      </w:r>
    </w:p>
    <w:p>
      <w:pPr>
        <w:spacing w:before="600"/>
        <w:jc w:val="center"/>
      </w:pPr>
      <w:r>
        <w:rPr>
          <w:color w:val="CCCCCC"/>
        </w:rPr>
        <w:t xml:space="preserve">━━━━━━━━━━━━━━━━━━━━━━━━━━━━━━━━━━━━━━━━</w:t>
      </w:r>
    </w:p>
    <w:p>
      <w:pPr>
        <w:jc w:val="center"/>
      </w:pPr>
      <w:r>
        <w:rPr>
          <w:i/>
          <w:iCs/>
          <w:color w:val="666666"/>
        </w:rPr>
        <w:t xml:space="preserve">Xchange Egypt - Technical Assessment</w:t>
      </w:r>
    </w:p>
    <w:p>
      <w:pPr>
        <w:jc w:val="center"/>
      </w:pPr>
      <w:r>
        <w:rPr>
          <w:i/>
          <w:iCs/>
          <w:color w:val="666666"/>
        </w:rPr>
        <w:t xml:space="preserve">December 2024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0"/>
        <w:szCs w:val="20"/>
      </w:rPr>
      <w:t xml:space="preserve">Page </w:t>
    </w:r>
    <w:r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sz w:val="20"/>
        <w:szCs w:val="20"/>
      </w:rPr>
      <w:t xml:space="preserve"> of </w:t>
    </w:r>
    <w:r>
      <w:rPr>
        <w:sz w:val="20"/>
        <w:szCs w:val="20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666666"/>
        <w:sz w:val="20"/>
        <w:szCs w:val="20"/>
      </w:rPr>
      <w:t xml:space="preserve">Xchange Mobile Marketplace - Technical Assessment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✓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✗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5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240" w:after="120"/>
      <w:jc w:val="center"/>
    </w:pPr>
    <w:rPr>
      <w:rFonts w:ascii="Arial" w:cs="Arial" w:eastAsia="Arial" w:hAnsi="Arial"/>
      <w:b/>
      <w:bCs/>
      <w:color w:val="1a5276"/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a5276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2874a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1a527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2025-12-13T06:20:16.031Z</dcterms:created>
  <dcterms:modified xsi:type="dcterms:W3CDTF">2025-12-13T06:20:16.032Z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