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4D3" w:rsidRDefault="008A24D3" w:rsidP="00554EA2">
      <w:pPr>
        <w:spacing w:line="240" w:lineRule="auto"/>
        <w:ind w:left="0" w:hanging="2"/>
        <w:jc w:val="both"/>
        <w:rPr>
          <w:rFonts w:eastAsia="Calibri"/>
          <w:b/>
          <w:bCs/>
          <w:sz w:val="20"/>
          <w:szCs w:val="20"/>
          <w:lang w:bidi="hi-IN"/>
        </w:rPr>
      </w:pPr>
      <w:r>
        <w:rPr>
          <w:rFonts w:eastAsia="Calibri"/>
          <w:b/>
          <w:bCs/>
          <w:sz w:val="20"/>
          <w:szCs w:val="20"/>
          <w:lang w:bidi="hi-IN"/>
        </w:rPr>
        <w:tab/>
      </w:r>
      <w:r>
        <w:rPr>
          <w:rFonts w:eastAsia="Calibri"/>
          <w:b/>
          <w:bCs/>
          <w:sz w:val="20"/>
          <w:szCs w:val="20"/>
          <w:lang w:bidi="hi-IN"/>
        </w:rPr>
        <w:tab/>
      </w:r>
      <w:r>
        <w:rPr>
          <w:rFonts w:eastAsia="Calibri"/>
          <w:b/>
          <w:bCs/>
          <w:sz w:val="20"/>
          <w:szCs w:val="20"/>
          <w:lang w:bidi="hi-IN"/>
        </w:rPr>
        <w:tab/>
      </w:r>
      <w:r>
        <w:rPr>
          <w:rFonts w:eastAsia="Calibri"/>
          <w:b/>
          <w:bCs/>
          <w:sz w:val="20"/>
          <w:szCs w:val="20"/>
          <w:lang w:bidi="hi-IN"/>
        </w:rPr>
        <w:tab/>
      </w:r>
      <w:r>
        <w:rPr>
          <w:rFonts w:eastAsia="Calibri"/>
          <w:b/>
          <w:bCs/>
          <w:sz w:val="20"/>
          <w:szCs w:val="20"/>
          <w:lang w:bidi="hi-IN"/>
        </w:rPr>
        <w:tab/>
        <w:t>ADVANCED DATABASE ADMINISTRATION</w:t>
      </w:r>
    </w:p>
    <w:p w:rsidR="008A24D3" w:rsidRDefault="008A24D3" w:rsidP="00554EA2">
      <w:pPr>
        <w:spacing w:line="240" w:lineRule="auto"/>
        <w:ind w:left="0" w:hanging="2"/>
        <w:jc w:val="both"/>
        <w:rPr>
          <w:rFonts w:eastAsia="Calibri"/>
          <w:b/>
          <w:bCs/>
          <w:sz w:val="20"/>
          <w:szCs w:val="20"/>
          <w:lang w:bidi="hi-IN"/>
        </w:rPr>
      </w:pPr>
    </w:p>
    <w:p w:rsidR="008A24D3" w:rsidRDefault="008A24D3" w:rsidP="00554EA2">
      <w:pPr>
        <w:spacing w:line="240" w:lineRule="auto"/>
        <w:ind w:left="0" w:hanging="2"/>
        <w:jc w:val="both"/>
        <w:rPr>
          <w:rFonts w:eastAsia="Calibri"/>
          <w:b/>
          <w:bCs/>
          <w:sz w:val="20"/>
          <w:szCs w:val="20"/>
          <w:lang w:bidi="hi-IN"/>
        </w:rPr>
      </w:pPr>
    </w:p>
    <w:p w:rsidR="00554EA2" w:rsidRDefault="00554EA2" w:rsidP="00554EA2">
      <w:pPr>
        <w:spacing w:line="240" w:lineRule="auto"/>
        <w:ind w:left="0" w:hanging="2"/>
        <w:jc w:val="both"/>
        <w:rPr>
          <w:rFonts w:eastAsia="Calibri"/>
          <w:b/>
          <w:bCs/>
          <w:sz w:val="20"/>
          <w:szCs w:val="20"/>
          <w:lang w:bidi="hi-IN"/>
        </w:rPr>
      </w:pPr>
      <w:r w:rsidRPr="00C943D5">
        <w:rPr>
          <w:rFonts w:eastAsia="Calibri"/>
          <w:b/>
          <w:bCs/>
          <w:sz w:val="20"/>
          <w:szCs w:val="20"/>
          <w:lang w:bidi="hi-IN"/>
        </w:rPr>
        <w:t>UNIT</w:t>
      </w:r>
      <w:r>
        <w:rPr>
          <w:rFonts w:eastAsia="Calibri"/>
          <w:b/>
          <w:bCs/>
          <w:sz w:val="20"/>
          <w:szCs w:val="20"/>
          <w:lang w:bidi="hi-IN"/>
        </w:rPr>
        <w:t>-</w:t>
      </w:r>
      <w:r w:rsidRPr="00C943D5">
        <w:rPr>
          <w:rFonts w:eastAsia="Calibri"/>
          <w:b/>
          <w:bCs/>
          <w:sz w:val="20"/>
          <w:szCs w:val="20"/>
          <w:lang w:bidi="hi-IN"/>
        </w:rPr>
        <w:t>I</w:t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  <w:t xml:space="preserve">                     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color w:val="222222"/>
          <w:sz w:val="20"/>
          <w:szCs w:val="20"/>
          <w:lang w:val="en-IN" w:bidi="hi-IN"/>
        </w:rPr>
      </w:pPr>
      <w:r w:rsidRPr="00C943D5">
        <w:rPr>
          <w:b/>
          <w:color w:val="222222"/>
          <w:sz w:val="20"/>
          <w:szCs w:val="20"/>
          <w:lang w:val="en-IN" w:bidi="hi-IN"/>
        </w:rPr>
        <w:t>Creating a Database</w:t>
      </w:r>
      <w:r w:rsidRPr="00C943D5">
        <w:rPr>
          <w:color w:val="222222"/>
          <w:sz w:val="20"/>
          <w:szCs w:val="20"/>
          <w:lang w:val="en-IN" w:bidi="hi-IN"/>
        </w:rPr>
        <w:t xml:space="preserve"> – </w:t>
      </w:r>
      <w:hyperlink r:id="rId7" w:history="1">
        <w:r w:rsidRPr="00D073D9">
          <w:rPr>
            <w:rStyle w:val="Hyperlink"/>
            <w:sz w:val="20"/>
            <w:szCs w:val="20"/>
            <w:lang w:val="en-IN" w:bidi="hi-IN"/>
          </w:rPr>
          <w:t>Database con</w:t>
        </w:r>
        <w:r w:rsidRPr="00D073D9">
          <w:rPr>
            <w:rStyle w:val="Hyperlink"/>
            <w:sz w:val="20"/>
            <w:szCs w:val="20"/>
            <w:lang w:val="en-IN" w:bidi="hi-IN"/>
          </w:rPr>
          <w:t>f</w:t>
        </w:r>
        <w:r w:rsidRPr="00D073D9">
          <w:rPr>
            <w:rStyle w:val="Hyperlink"/>
            <w:sz w:val="20"/>
            <w:szCs w:val="20"/>
            <w:lang w:val="en-IN" w:bidi="hi-IN"/>
          </w:rPr>
          <w:t>iguring Assistant (DBCA),</w:t>
        </w:r>
      </w:hyperlink>
      <w:r w:rsidRPr="00C943D5">
        <w:rPr>
          <w:color w:val="222222"/>
          <w:sz w:val="20"/>
          <w:szCs w:val="20"/>
          <w:lang w:val="en-IN" w:bidi="hi-IN"/>
        </w:rPr>
        <w:t xml:space="preserve"> </w:t>
      </w:r>
      <w:hyperlink r:id="rId8" w:history="1">
        <w:r w:rsidRPr="00802E0F">
          <w:rPr>
            <w:rStyle w:val="Hyperlink"/>
            <w:sz w:val="20"/>
            <w:szCs w:val="20"/>
            <w:lang w:val="en-IN" w:bidi="hi-IN"/>
          </w:rPr>
          <w:t>Password management</w:t>
        </w:r>
      </w:hyperlink>
      <w:r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9" w:anchor="ADMQS0234" w:history="1">
        <w:r w:rsidRPr="00802E0F">
          <w:rPr>
            <w:rStyle w:val="Hyperlink"/>
            <w:sz w:val="20"/>
            <w:szCs w:val="20"/>
            <w:lang w:val="en-IN" w:bidi="hi-IN"/>
          </w:rPr>
          <w:t>Using DBCA to delete a database.</w:t>
        </w:r>
      </w:hyperlink>
    </w:p>
    <w:p w:rsidR="00554EA2" w:rsidRPr="00C943D5" w:rsidRDefault="004315BF" w:rsidP="00554EA2">
      <w:pPr>
        <w:spacing w:line="240" w:lineRule="auto"/>
        <w:ind w:left="0" w:hanging="2"/>
        <w:jc w:val="both"/>
        <w:rPr>
          <w:color w:val="222222"/>
          <w:sz w:val="20"/>
          <w:szCs w:val="20"/>
          <w:lang w:val="en-IN" w:bidi="hi-IN"/>
        </w:rPr>
      </w:pPr>
      <w:hyperlink r:id="rId10" w:history="1">
        <w:r w:rsidR="00554EA2" w:rsidRPr="00802E0F">
          <w:rPr>
            <w:rStyle w:val="Hyperlink"/>
            <w:b/>
            <w:sz w:val="20"/>
            <w:szCs w:val="20"/>
            <w:lang w:val="en-IN" w:bidi="hi-IN"/>
          </w:rPr>
          <w:t>Managing the database instance</w:t>
        </w:r>
        <w:r w:rsidR="00802E0F" w:rsidRPr="00802E0F">
          <w:rPr>
            <w:rStyle w:val="Hyperlink"/>
            <w:sz w:val="20"/>
            <w:szCs w:val="20"/>
            <w:lang w:val="en-IN" w:bidi="hi-IN"/>
          </w:rPr>
          <w:t xml:space="preserve"> </w:t>
        </w:r>
        <w:r w:rsidR="00554EA2" w:rsidRPr="00802E0F">
          <w:rPr>
            <w:rStyle w:val="Hyperlink"/>
            <w:sz w:val="20"/>
            <w:szCs w:val="20"/>
            <w:lang w:val="en-IN" w:bidi="hi-IN"/>
          </w:rPr>
          <w:t xml:space="preserve"> Management framework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11" w:history="1">
        <w:r w:rsidR="00554EA2" w:rsidRPr="007749BE">
          <w:rPr>
            <w:rStyle w:val="Hyperlink"/>
            <w:sz w:val="20"/>
            <w:szCs w:val="20"/>
            <w:lang w:val="en-IN" w:bidi="hi-IN"/>
          </w:rPr>
          <w:t>starting and stopping database control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12" w:anchor="i1124392" w:history="1">
        <w:r w:rsidR="00554EA2" w:rsidRPr="007749BE">
          <w:rPr>
            <w:rStyle w:val="Hyperlink"/>
            <w:sz w:val="20"/>
            <w:szCs w:val="20"/>
            <w:lang w:val="en-IN" w:bidi="hi-IN"/>
          </w:rPr>
          <w:t>Initialising parameter files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13" w:history="1">
        <w:r w:rsidR="00554EA2" w:rsidRPr="007749BE">
          <w:rPr>
            <w:rStyle w:val="Hyperlink"/>
            <w:sz w:val="20"/>
            <w:szCs w:val="20"/>
            <w:lang w:val="en-IN" w:bidi="hi-IN"/>
          </w:rPr>
          <w:t>starting up and shutting down database instance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>.</w:t>
      </w:r>
    </w:p>
    <w:p w:rsidR="00554EA2" w:rsidRDefault="004315BF" w:rsidP="00554EA2">
      <w:pPr>
        <w:spacing w:line="240" w:lineRule="auto"/>
        <w:ind w:left="0" w:hanging="2"/>
        <w:jc w:val="both"/>
        <w:rPr>
          <w:color w:val="222222"/>
          <w:sz w:val="20"/>
          <w:szCs w:val="20"/>
          <w:lang w:val="en-IN" w:bidi="hi-IN"/>
        </w:rPr>
      </w:pPr>
      <w:hyperlink r:id="rId14" w:anchor="ADMQS006" w:history="1">
        <w:r w:rsidR="00554EA2" w:rsidRPr="007749BE">
          <w:rPr>
            <w:rStyle w:val="Hyperlink"/>
            <w:b/>
            <w:sz w:val="20"/>
            <w:szCs w:val="20"/>
            <w:lang w:val="en-IN" w:bidi="hi-IN"/>
          </w:rPr>
          <w:t>Managing Database storage structure</w:t>
        </w:r>
        <w:r w:rsidR="00554EA2" w:rsidRPr="007749BE">
          <w:rPr>
            <w:rStyle w:val="Hyperlink"/>
            <w:sz w:val="20"/>
            <w:szCs w:val="20"/>
            <w:lang w:val="en-IN" w:bidi="hi-IN"/>
          </w:rPr>
          <w:t xml:space="preserve"> – Storage structu</w:t>
        </w:r>
        <w:r w:rsidR="00554EA2" w:rsidRPr="007749BE">
          <w:rPr>
            <w:rStyle w:val="Hyperlink"/>
            <w:sz w:val="20"/>
            <w:szCs w:val="20"/>
            <w:lang w:val="en-IN" w:bidi="hi-IN"/>
          </w:rPr>
          <w:t>r</w:t>
        </w:r>
        <w:r w:rsidR="00554EA2" w:rsidRPr="007749BE">
          <w:rPr>
            <w:rStyle w:val="Hyperlink"/>
            <w:sz w:val="20"/>
            <w:szCs w:val="20"/>
            <w:lang w:val="en-IN" w:bidi="hi-IN"/>
          </w:rPr>
          <w:t>e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15" w:history="1">
        <w:r w:rsidR="00554EA2" w:rsidRPr="007749BE">
          <w:rPr>
            <w:rStyle w:val="Hyperlink"/>
            <w:sz w:val="20"/>
            <w:szCs w:val="20"/>
            <w:lang w:val="en-IN" w:bidi="hi-IN"/>
          </w:rPr>
          <w:t>How table data is stored?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 </w:t>
      </w:r>
      <w:hyperlink r:id="rId16" w:history="1">
        <w:r w:rsidR="00554EA2" w:rsidRPr="007749BE">
          <w:rPr>
            <w:rStyle w:val="Hyperlink"/>
            <w:sz w:val="20"/>
            <w:szCs w:val="20"/>
            <w:lang w:val="en-IN" w:bidi="hi-IN"/>
          </w:rPr>
          <w:t>Tablespacesand data files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17" w:history="1">
        <w:r w:rsidR="00554EA2" w:rsidRPr="007749BE">
          <w:rPr>
            <w:rStyle w:val="Hyperlink"/>
            <w:sz w:val="20"/>
            <w:szCs w:val="20"/>
            <w:lang w:val="en-IN" w:bidi="hi-IN"/>
          </w:rPr>
          <w:t>Space Management in Tablespaces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18" w:history="1">
        <w:r w:rsidR="00554EA2" w:rsidRPr="007749BE">
          <w:rPr>
            <w:rStyle w:val="Hyperlink"/>
            <w:sz w:val="20"/>
            <w:szCs w:val="20"/>
            <w:lang w:val="en-IN" w:bidi="hi-IN"/>
          </w:rPr>
          <w:t>Tablespace management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>.</w:t>
      </w:r>
    </w:p>
    <w:p w:rsidR="00554EA2" w:rsidRPr="00C943D5" w:rsidRDefault="00554EA2" w:rsidP="00554EA2">
      <w:pPr>
        <w:spacing w:line="240" w:lineRule="auto"/>
        <w:ind w:left="0" w:hanging="2"/>
        <w:jc w:val="right"/>
        <w:rPr>
          <w:rFonts w:eastAsia="Calibri"/>
          <w:sz w:val="20"/>
          <w:szCs w:val="20"/>
          <w:lang w:bidi="hi-IN"/>
        </w:rPr>
      </w:pPr>
      <w:r w:rsidRPr="00C943D5">
        <w:rPr>
          <w:rFonts w:eastAsia="Calibri"/>
          <w:b/>
          <w:bCs/>
          <w:sz w:val="20"/>
          <w:szCs w:val="20"/>
          <w:lang w:val="en-IN" w:bidi="hi-IN"/>
        </w:rPr>
        <w:t xml:space="preserve">[T1][T2][No. of </w:t>
      </w:r>
      <w:r>
        <w:rPr>
          <w:rFonts w:eastAsia="Calibri"/>
          <w:b/>
          <w:bCs/>
          <w:sz w:val="20"/>
          <w:szCs w:val="20"/>
          <w:lang w:val="en-IN" w:bidi="hi-IN"/>
        </w:rPr>
        <w:t>H</w:t>
      </w:r>
      <w:r w:rsidRPr="00C943D5">
        <w:rPr>
          <w:rFonts w:eastAsia="Calibri"/>
          <w:b/>
          <w:bCs/>
          <w:sz w:val="20"/>
          <w:szCs w:val="20"/>
          <w:lang w:val="en-IN" w:bidi="hi-IN"/>
        </w:rPr>
        <w:t>rs. 11]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b/>
          <w:bCs/>
          <w:sz w:val="20"/>
          <w:szCs w:val="20"/>
          <w:lang w:bidi="hi-IN"/>
        </w:rPr>
      </w:pPr>
      <w:r w:rsidRPr="00C943D5">
        <w:rPr>
          <w:rFonts w:eastAsia="Calibri"/>
          <w:b/>
          <w:bCs/>
          <w:sz w:val="20"/>
          <w:szCs w:val="20"/>
          <w:lang w:bidi="hi-IN"/>
        </w:rPr>
        <w:t>UNIT</w:t>
      </w:r>
      <w:r>
        <w:rPr>
          <w:rFonts w:eastAsia="Calibri"/>
          <w:b/>
          <w:bCs/>
          <w:sz w:val="20"/>
          <w:szCs w:val="20"/>
          <w:lang w:bidi="hi-IN"/>
        </w:rPr>
        <w:t>-</w:t>
      </w:r>
      <w:r w:rsidRPr="00C943D5">
        <w:rPr>
          <w:rFonts w:eastAsia="Calibri"/>
          <w:b/>
          <w:bCs/>
          <w:sz w:val="20"/>
          <w:szCs w:val="20"/>
          <w:lang w:bidi="hi-IN"/>
        </w:rPr>
        <w:t>II</w:t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  <w:t xml:space="preserve">       </w:t>
      </w:r>
    </w:p>
    <w:p w:rsidR="00554EA2" w:rsidRPr="00C943D5" w:rsidRDefault="00272B65" w:rsidP="00554EA2">
      <w:pPr>
        <w:spacing w:line="240" w:lineRule="auto"/>
        <w:ind w:left="0" w:hanging="2"/>
        <w:jc w:val="both"/>
        <w:rPr>
          <w:color w:val="222222"/>
          <w:sz w:val="20"/>
          <w:szCs w:val="20"/>
          <w:lang w:val="en-IN" w:bidi="hi-IN"/>
        </w:rPr>
      </w:pPr>
      <w:hyperlink r:id="rId19" w:anchor="DBSEG10000" w:history="1">
        <w:r w:rsidR="00554EA2" w:rsidRPr="00272B65">
          <w:rPr>
            <w:rStyle w:val="Hyperlink"/>
            <w:b/>
            <w:sz w:val="20"/>
            <w:szCs w:val="20"/>
            <w:lang w:val="en-IN" w:bidi="hi-IN"/>
          </w:rPr>
          <w:t>Database user secu</w:t>
        </w:r>
        <w:r w:rsidR="00554EA2" w:rsidRPr="00272B65">
          <w:rPr>
            <w:rStyle w:val="Hyperlink"/>
            <w:b/>
            <w:sz w:val="20"/>
            <w:szCs w:val="20"/>
            <w:lang w:val="en-IN" w:bidi="hi-IN"/>
          </w:rPr>
          <w:t>r</w:t>
        </w:r>
        <w:r w:rsidR="00554EA2" w:rsidRPr="00272B65">
          <w:rPr>
            <w:rStyle w:val="Hyperlink"/>
            <w:b/>
            <w:sz w:val="20"/>
            <w:szCs w:val="20"/>
            <w:lang w:val="en-IN" w:bidi="hi-IN"/>
          </w:rPr>
          <w:t>ity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 xml:space="preserve"> – Creating a user, 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>A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 xml:space="preserve">uthenticating users, Unlocking a user account and resetting the password, Privileges 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>a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>nd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 xml:space="preserve"> 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>r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>ole, System privileges, object privileges.</w:t>
        </w:r>
      </w:hyperlink>
    </w:p>
    <w:p w:rsidR="00554EA2" w:rsidRPr="00C943D5" w:rsidRDefault="00272B65" w:rsidP="00554EA2">
      <w:pPr>
        <w:spacing w:line="240" w:lineRule="auto"/>
        <w:ind w:left="0" w:hanging="2"/>
        <w:jc w:val="both"/>
        <w:rPr>
          <w:color w:val="222222"/>
          <w:sz w:val="20"/>
          <w:szCs w:val="20"/>
          <w:lang w:val="en-IN" w:bidi="hi-IN"/>
        </w:rPr>
      </w:pPr>
      <w:hyperlink r:id="rId20" w:history="1">
        <w:r w:rsidR="00554EA2" w:rsidRPr="00272B65">
          <w:rPr>
            <w:rStyle w:val="Hyperlink"/>
            <w:b/>
            <w:sz w:val="20"/>
            <w:szCs w:val="20"/>
            <w:lang w:val="en-IN" w:bidi="hi-IN"/>
          </w:rPr>
          <w:t>Managing Schema Objects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 xml:space="preserve"> – Table types, Action with tables, c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>r</w:t>
        </w:r>
        <w:r w:rsidR="00554EA2" w:rsidRPr="00272B65">
          <w:rPr>
            <w:rStyle w:val="Hyperlink"/>
            <w:sz w:val="20"/>
            <w:szCs w:val="20"/>
            <w:lang w:val="en-IN" w:bidi="hi-IN"/>
          </w:rPr>
          <w:t>eating views, sequences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21" w:history="1">
        <w:r w:rsidR="00554EA2" w:rsidRPr="00272B65">
          <w:rPr>
            <w:rStyle w:val="Hyperlink"/>
            <w:sz w:val="20"/>
            <w:szCs w:val="20"/>
            <w:lang w:val="en-IN" w:bidi="hi-IN"/>
          </w:rPr>
          <w:t>What is partition and why use it?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 </w:t>
      </w:r>
      <w:hyperlink r:id="rId22" w:history="1">
        <w:r w:rsidR="00554EA2" w:rsidRPr="00272B65">
          <w:rPr>
            <w:rStyle w:val="Hyperlink"/>
            <w:sz w:val="20"/>
            <w:szCs w:val="20"/>
            <w:lang w:val="en-IN" w:bidi="hi-IN"/>
          </w:rPr>
          <w:t>Creating a Partition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23" w:history="1">
        <w:r w:rsidR="00554EA2" w:rsidRPr="00E538CB">
          <w:rPr>
            <w:rStyle w:val="Hyperlink"/>
            <w:sz w:val="20"/>
            <w:szCs w:val="20"/>
            <w:lang w:val="en-IN" w:bidi="hi-IN"/>
          </w:rPr>
          <w:t>Partitioning method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24" w:history="1">
        <w:r w:rsidR="00554EA2" w:rsidRPr="00E538CB">
          <w:rPr>
            <w:rStyle w:val="Hyperlink"/>
            <w:sz w:val="20"/>
            <w:szCs w:val="20"/>
            <w:lang w:val="en-IN" w:bidi="hi-IN"/>
          </w:rPr>
          <w:t>Index organised tables and heap tables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25" w:history="1">
        <w:r w:rsidR="00E538CB" w:rsidRPr="00E538CB">
          <w:rPr>
            <w:rStyle w:val="Hyperlink"/>
            <w:sz w:val="20"/>
            <w:szCs w:val="20"/>
            <w:lang w:val="en-IN" w:bidi="hi-IN"/>
          </w:rPr>
          <w:t>heap tables</w:t>
        </w:r>
      </w:hyperlink>
      <w:r w:rsidR="00E538CB">
        <w:rPr>
          <w:color w:val="222222"/>
          <w:sz w:val="20"/>
          <w:szCs w:val="20"/>
          <w:lang w:val="en-IN" w:bidi="hi-IN"/>
        </w:rPr>
        <w:t xml:space="preserve">, </w:t>
      </w:r>
      <w:hyperlink r:id="rId26" w:history="1">
        <w:r w:rsidR="00554EA2" w:rsidRPr="00E538CB">
          <w:rPr>
            <w:rStyle w:val="Hyperlink"/>
            <w:sz w:val="20"/>
            <w:szCs w:val="20"/>
            <w:lang w:val="en-IN" w:bidi="hi-IN"/>
          </w:rPr>
          <w:t>creating index-organised tables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27" w:anchor="ADMIN11739" w:history="1">
        <w:r w:rsidR="00554EA2" w:rsidRPr="00E538CB">
          <w:rPr>
            <w:rStyle w:val="Hyperlink"/>
            <w:sz w:val="20"/>
            <w:szCs w:val="20"/>
            <w:lang w:val="en-IN" w:bidi="hi-IN"/>
          </w:rPr>
          <w:t>cluster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28" w:history="1">
        <w:r w:rsidR="00554EA2" w:rsidRPr="00E538CB">
          <w:rPr>
            <w:rStyle w:val="Hyperlink"/>
            <w:sz w:val="20"/>
            <w:szCs w:val="20"/>
            <w:lang w:val="en-IN" w:bidi="hi-IN"/>
          </w:rPr>
          <w:t>cluster types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29" w:history="1">
        <w:r w:rsidR="00554EA2" w:rsidRPr="00E538CB">
          <w:rPr>
            <w:rStyle w:val="Hyperlink"/>
            <w:sz w:val="20"/>
            <w:szCs w:val="20"/>
            <w:lang w:val="en-IN" w:bidi="hi-IN"/>
          </w:rPr>
          <w:t>sorted has</w:t>
        </w:r>
        <w:r w:rsidR="00554EA2" w:rsidRPr="00E538CB">
          <w:rPr>
            <w:rStyle w:val="Hyperlink"/>
            <w:sz w:val="20"/>
            <w:szCs w:val="20"/>
            <w:lang w:val="en-IN" w:bidi="hi-IN"/>
          </w:rPr>
          <w:t>h</w:t>
        </w:r>
        <w:r w:rsidR="00554EA2" w:rsidRPr="00E538CB">
          <w:rPr>
            <w:rStyle w:val="Hyperlink"/>
            <w:sz w:val="20"/>
            <w:szCs w:val="20"/>
            <w:lang w:val="en-IN" w:bidi="hi-IN"/>
          </w:rPr>
          <w:t xml:space="preserve"> cluster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>.</w:t>
      </w:r>
    </w:p>
    <w:p w:rsidR="00554EA2" w:rsidRDefault="00E538CB" w:rsidP="00554EA2">
      <w:pPr>
        <w:spacing w:line="240" w:lineRule="auto"/>
        <w:ind w:left="0" w:hanging="2"/>
        <w:jc w:val="both"/>
        <w:rPr>
          <w:color w:val="222222"/>
          <w:sz w:val="20"/>
          <w:szCs w:val="20"/>
          <w:lang w:val="en-IN" w:bidi="hi-IN"/>
        </w:rPr>
      </w:pPr>
      <w:hyperlink r:id="rId30" w:history="1">
        <w:r w:rsidR="00554EA2" w:rsidRPr="00E538CB">
          <w:rPr>
            <w:rStyle w:val="Hyperlink"/>
            <w:b/>
            <w:sz w:val="20"/>
            <w:szCs w:val="20"/>
            <w:lang w:val="en-IN" w:bidi="hi-IN"/>
          </w:rPr>
          <w:t>Managing data and concurrency</w:t>
        </w:r>
        <w:r w:rsidR="00554EA2" w:rsidRPr="00E538CB">
          <w:rPr>
            <w:rStyle w:val="Hyperlink"/>
            <w:sz w:val="20"/>
            <w:szCs w:val="20"/>
            <w:lang w:val="en-IN" w:bidi="hi-IN"/>
          </w:rPr>
          <w:t xml:space="preserve"> – Manipulating with data through SQL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31" w:history="1">
        <w:r w:rsidR="00554EA2" w:rsidRPr="008A24D3">
          <w:rPr>
            <w:rStyle w:val="Hyperlink"/>
            <w:sz w:val="20"/>
            <w:szCs w:val="20"/>
            <w:lang w:val="en-IN" w:bidi="hi-IN"/>
          </w:rPr>
          <w:t>function procedure, packages, Triggers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32" w:history="1">
        <w:r w:rsidR="00554EA2" w:rsidRPr="008A24D3">
          <w:rPr>
            <w:rStyle w:val="Hyperlink"/>
            <w:sz w:val="20"/>
            <w:szCs w:val="20"/>
            <w:lang w:val="en-IN" w:bidi="hi-IN"/>
          </w:rPr>
          <w:t>locking concepts</w:t>
        </w:r>
      </w:hyperlink>
      <w:r w:rsidR="00554EA2" w:rsidRPr="00C943D5">
        <w:rPr>
          <w:color w:val="222222"/>
          <w:sz w:val="20"/>
          <w:szCs w:val="20"/>
          <w:lang w:val="en-IN" w:bidi="hi-IN"/>
        </w:rPr>
        <w:t xml:space="preserve">, </w:t>
      </w:r>
      <w:hyperlink r:id="rId33" w:history="1">
        <w:r w:rsidR="00554EA2" w:rsidRPr="008A24D3">
          <w:rPr>
            <w:rStyle w:val="Hyperlink"/>
            <w:sz w:val="20"/>
            <w:szCs w:val="20"/>
            <w:lang w:val="en-IN" w:bidi="hi-IN"/>
          </w:rPr>
          <w:t>detecting and resolving lock conflicts.</w:t>
        </w:r>
      </w:hyperlink>
    </w:p>
    <w:p w:rsidR="00554EA2" w:rsidRPr="00C943D5" w:rsidRDefault="00554EA2" w:rsidP="00554EA2">
      <w:pPr>
        <w:spacing w:line="240" w:lineRule="auto"/>
        <w:ind w:left="0" w:hanging="2"/>
        <w:jc w:val="right"/>
        <w:rPr>
          <w:rFonts w:eastAsia="Calibri"/>
          <w:sz w:val="20"/>
          <w:szCs w:val="20"/>
          <w:lang w:bidi="hi-IN"/>
        </w:rPr>
      </w:pPr>
      <w:r w:rsidRPr="00C943D5">
        <w:rPr>
          <w:rFonts w:eastAsia="Calibri"/>
          <w:b/>
          <w:bCs/>
          <w:sz w:val="20"/>
          <w:szCs w:val="20"/>
          <w:lang w:val="en-IN" w:bidi="hi-IN"/>
        </w:rPr>
        <w:t xml:space="preserve">[T1][T2][No. of </w:t>
      </w:r>
      <w:r>
        <w:rPr>
          <w:rFonts w:eastAsia="Calibri"/>
          <w:b/>
          <w:bCs/>
          <w:sz w:val="20"/>
          <w:szCs w:val="20"/>
          <w:lang w:val="en-IN" w:bidi="hi-IN"/>
        </w:rPr>
        <w:t>H</w:t>
      </w:r>
      <w:r w:rsidRPr="00C943D5">
        <w:rPr>
          <w:rFonts w:eastAsia="Calibri"/>
          <w:b/>
          <w:bCs/>
          <w:sz w:val="20"/>
          <w:szCs w:val="20"/>
          <w:lang w:val="en-IN" w:bidi="hi-IN"/>
        </w:rPr>
        <w:t>rs. 11]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sz w:val="20"/>
          <w:szCs w:val="20"/>
          <w:lang w:bidi="hi-IN"/>
        </w:rPr>
      </w:pPr>
      <w:r w:rsidRPr="00C943D5">
        <w:rPr>
          <w:rFonts w:eastAsia="Calibri"/>
          <w:b/>
          <w:bCs/>
          <w:sz w:val="20"/>
          <w:szCs w:val="20"/>
          <w:lang w:bidi="hi-IN"/>
        </w:rPr>
        <w:t>UNIT</w:t>
      </w:r>
      <w:r>
        <w:rPr>
          <w:rFonts w:eastAsia="Calibri"/>
          <w:b/>
          <w:bCs/>
          <w:sz w:val="20"/>
          <w:szCs w:val="20"/>
          <w:lang w:bidi="hi-IN"/>
        </w:rPr>
        <w:t>-</w:t>
      </w:r>
      <w:r w:rsidRPr="00C943D5">
        <w:rPr>
          <w:rFonts w:eastAsia="Calibri"/>
          <w:b/>
          <w:bCs/>
          <w:sz w:val="20"/>
          <w:szCs w:val="20"/>
          <w:lang w:bidi="hi-IN"/>
        </w:rPr>
        <w:t>III</w:t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</w:r>
      <w:r w:rsidRPr="00C943D5">
        <w:rPr>
          <w:rFonts w:eastAsia="Calibri"/>
          <w:b/>
          <w:bCs/>
          <w:sz w:val="20"/>
          <w:szCs w:val="20"/>
          <w:lang w:bidi="hi-IN"/>
        </w:rPr>
        <w:tab/>
        <w:t xml:space="preserve">       </w:t>
      </w:r>
      <w:r w:rsidRPr="00C943D5">
        <w:rPr>
          <w:b/>
          <w:color w:val="222222"/>
          <w:sz w:val="20"/>
          <w:szCs w:val="20"/>
          <w:lang w:val="en-IN" w:bidi="hi-IN"/>
        </w:rPr>
        <w:t>Managing undo Data</w:t>
      </w:r>
      <w:r w:rsidRPr="00C943D5">
        <w:rPr>
          <w:color w:val="222222"/>
          <w:sz w:val="20"/>
          <w:szCs w:val="20"/>
          <w:lang w:val="en-IN" w:bidi="hi-IN"/>
        </w:rPr>
        <w:t xml:space="preserve"> – Monitoring Undo, Administering Undo, Configuring Undo Retention, Sizing Undo tablespace.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sz w:val="20"/>
          <w:szCs w:val="20"/>
          <w:lang w:bidi="hi-IN"/>
        </w:rPr>
      </w:pPr>
      <w:r w:rsidRPr="00C943D5">
        <w:rPr>
          <w:b/>
          <w:color w:val="222222"/>
          <w:sz w:val="20"/>
          <w:szCs w:val="20"/>
          <w:lang w:val="en-IN" w:bidi="hi-IN"/>
        </w:rPr>
        <w:t>Implementing database security</w:t>
      </w:r>
      <w:r w:rsidRPr="00C943D5">
        <w:rPr>
          <w:color w:val="222222"/>
          <w:sz w:val="20"/>
          <w:szCs w:val="20"/>
          <w:lang w:val="en-IN" w:bidi="hi-IN"/>
        </w:rPr>
        <w:t xml:space="preserve"> – database transparent encryption (TDE), TDE Process, Implementing TDE.</w:t>
      </w:r>
    </w:p>
    <w:p w:rsidR="00554EA2" w:rsidRDefault="00554EA2" w:rsidP="00554EA2">
      <w:pPr>
        <w:spacing w:line="240" w:lineRule="auto"/>
        <w:ind w:left="0" w:hanging="2"/>
        <w:jc w:val="both"/>
        <w:rPr>
          <w:color w:val="222222"/>
          <w:sz w:val="20"/>
          <w:szCs w:val="20"/>
          <w:lang w:val="en-IN" w:bidi="hi-IN"/>
        </w:rPr>
      </w:pPr>
      <w:r w:rsidRPr="00C943D5">
        <w:rPr>
          <w:b/>
          <w:color w:val="222222"/>
          <w:sz w:val="20"/>
          <w:szCs w:val="20"/>
          <w:lang w:val="en-IN" w:bidi="hi-IN"/>
        </w:rPr>
        <w:t>Performance management</w:t>
      </w:r>
      <w:r w:rsidRPr="00C943D5">
        <w:rPr>
          <w:color w:val="222222"/>
          <w:sz w:val="20"/>
          <w:szCs w:val="20"/>
          <w:lang w:val="en-IN" w:bidi="hi-IN"/>
        </w:rPr>
        <w:t xml:space="preserve"> - troubleshooting, tuning. </w:t>
      </w:r>
    </w:p>
    <w:p w:rsidR="00554EA2" w:rsidRPr="00C943D5" w:rsidRDefault="00554EA2" w:rsidP="00554EA2">
      <w:pPr>
        <w:spacing w:line="240" w:lineRule="auto"/>
        <w:ind w:left="0" w:hanging="2"/>
        <w:jc w:val="right"/>
        <w:rPr>
          <w:rFonts w:eastAsia="Calibri"/>
          <w:sz w:val="20"/>
          <w:szCs w:val="20"/>
          <w:lang w:bidi="hi-IN"/>
        </w:rPr>
      </w:pPr>
      <w:r w:rsidRPr="00C943D5">
        <w:rPr>
          <w:rFonts w:eastAsia="Calibri"/>
          <w:b/>
          <w:bCs/>
          <w:sz w:val="20"/>
          <w:szCs w:val="20"/>
          <w:lang w:val="en-IN" w:bidi="hi-IN"/>
        </w:rPr>
        <w:t xml:space="preserve">[T1][T2][No. of </w:t>
      </w:r>
      <w:r>
        <w:rPr>
          <w:rFonts w:eastAsia="Calibri"/>
          <w:b/>
          <w:bCs/>
          <w:sz w:val="20"/>
          <w:szCs w:val="20"/>
          <w:lang w:val="en-IN" w:bidi="hi-IN"/>
        </w:rPr>
        <w:t>H</w:t>
      </w:r>
      <w:r w:rsidRPr="00C943D5">
        <w:rPr>
          <w:rFonts w:eastAsia="Calibri"/>
          <w:b/>
          <w:bCs/>
          <w:sz w:val="20"/>
          <w:szCs w:val="20"/>
          <w:lang w:val="en-IN" w:bidi="hi-IN"/>
        </w:rPr>
        <w:t>rs. 1</w:t>
      </w:r>
      <w:r>
        <w:rPr>
          <w:rFonts w:eastAsia="Calibri"/>
          <w:b/>
          <w:bCs/>
          <w:sz w:val="20"/>
          <w:szCs w:val="20"/>
          <w:lang w:val="en-IN" w:bidi="hi-IN"/>
        </w:rPr>
        <w:t>0</w:t>
      </w:r>
      <w:r w:rsidRPr="00C943D5">
        <w:rPr>
          <w:rFonts w:eastAsia="Calibri"/>
          <w:b/>
          <w:bCs/>
          <w:sz w:val="20"/>
          <w:szCs w:val="20"/>
          <w:lang w:val="en-IN" w:bidi="hi-IN"/>
        </w:rPr>
        <w:t>]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b/>
          <w:bCs/>
          <w:sz w:val="20"/>
          <w:szCs w:val="20"/>
          <w:lang w:bidi="hi-IN"/>
        </w:rPr>
      </w:pPr>
      <w:r w:rsidRPr="00C943D5">
        <w:rPr>
          <w:rFonts w:eastAsia="Calibri"/>
          <w:b/>
          <w:bCs/>
          <w:sz w:val="20"/>
          <w:szCs w:val="20"/>
          <w:lang w:bidi="hi-IN"/>
        </w:rPr>
        <w:t xml:space="preserve">UNIT-IV                                                                                                                                      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color w:val="222222"/>
          <w:sz w:val="20"/>
          <w:szCs w:val="20"/>
          <w:lang w:val="en-IN" w:bidi="hi-IN"/>
        </w:rPr>
      </w:pPr>
      <w:r w:rsidRPr="00C943D5">
        <w:rPr>
          <w:b/>
          <w:color w:val="222222"/>
          <w:sz w:val="20"/>
          <w:szCs w:val="20"/>
          <w:lang w:val="en-IN" w:bidi="hi-IN"/>
        </w:rPr>
        <w:t>Performing Backup and Recovery</w:t>
      </w:r>
      <w:r w:rsidRPr="00C943D5">
        <w:rPr>
          <w:color w:val="222222"/>
          <w:sz w:val="20"/>
          <w:szCs w:val="20"/>
          <w:lang w:val="en-IN" w:bidi="hi-IN"/>
        </w:rPr>
        <w:t xml:space="preserve"> – Configuring Recovery Manager, using Recovery</w:t>
      </w:r>
      <w:r>
        <w:rPr>
          <w:color w:val="222222"/>
          <w:sz w:val="20"/>
          <w:szCs w:val="20"/>
          <w:lang w:val="en-IN" w:bidi="hi-IN"/>
        </w:rPr>
        <w:t xml:space="preserve"> </w:t>
      </w:r>
      <w:r w:rsidRPr="00C943D5">
        <w:rPr>
          <w:color w:val="222222"/>
          <w:sz w:val="20"/>
          <w:szCs w:val="20"/>
          <w:lang w:val="en-IN" w:bidi="hi-IN"/>
        </w:rPr>
        <w:t>manager, Recovering from noncritical Losses , recovery from loss of control file , data file and</w:t>
      </w:r>
      <w:r>
        <w:rPr>
          <w:color w:val="222222"/>
          <w:sz w:val="20"/>
          <w:szCs w:val="20"/>
          <w:lang w:val="en-IN" w:bidi="hi-IN"/>
        </w:rPr>
        <w:t xml:space="preserve"> </w:t>
      </w:r>
      <w:r w:rsidRPr="00C943D5">
        <w:rPr>
          <w:color w:val="222222"/>
          <w:sz w:val="20"/>
          <w:szCs w:val="20"/>
          <w:lang w:val="en-IN" w:bidi="hi-IN"/>
        </w:rPr>
        <w:t>redo file.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b/>
          <w:bCs/>
          <w:sz w:val="20"/>
          <w:szCs w:val="20"/>
          <w:lang w:bidi="hi-IN"/>
        </w:rPr>
      </w:pPr>
      <w:r w:rsidRPr="00C943D5">
        <w:rPr>
          <w:b/>
          <w:color w:val="222222"/>
          <w:sz w:val="20"/>
          <w:szCs w:val="20"/>
          <w:lang w:val="en-IN" w:bidi="hi-IN"/>
        </w:rPr>
        <w:t>Performing flashback</w:t>
      </w:r>
      <w:r w:rsidRPr="00C943D5">
        <w:rPr>
          <w:color w:val="222222"/>
          <w:sz w:val="20"/>
          <w:szCs w:val="20"/>
          <w:lang w:val="en-IN" w:bidi="hi-IN"/>
        </w:rPr>
        <w:t xml:space="preserve"> – Flashback database , Flashback database Architecture, Configuring</w:t>
      </w:r>
      <w:r>
        <w:rPr>
          <w:color w:val="222222"/>
          <w:sz w:val="20"/>
          <w:szCs w:val="20"/>
          <w:lang w:val="en-IN" w:bidi="hi-IN"/>
        </w:rPr>
        <w:t xml:space="preserve"> </w:t>
      </w:r>
      <w:r w:rsidRPr="00C943D5">
        <w:rPr>
          <w:color w:val="222222"/>
          <w:sz w:val="20"/>
          <w:szCs w:val="20"/>
          <w:lang w:val="en-IN" w:bidi="hi-IN"/>
        </w:rPr>
        <w:t>flashback Database using enterprise manager, Monitoring Flashback database</w:t>
      </w:r>
      <w:r>
        <w:rPr>
          <w:color w:val="222222"/>
          <w:sz w:val="20"/>
          <w:szCs w:val="20"/>
          <w:lang w:val="en-IN" w:bidi="hi-IN"/>
        </w:rPr>
        <w:t xml:space="preserve"> </w:t>
      </w:r>
    </w:p>
    <w:p w:rsidR="00554EA2" w:rsidRDefault="00554EA2" w:rsidP="00554EA2">
      <w:pPr>
        <w:spacing w:line="240" w:lineRule="auto"/>
        <w:ind w:left="0" w:hanging="2"/>
        <w:jc w:val="both"/>
        <w:rPr>
          <w:color w:val="222222"/>
          <w:sz w:val="20"/>
          <w:szCs w:val="20"/>
          <w:lang w:val="en-IN" w:bidi="hi-IN"/>
        </w:rPr>
      </w:pPr>
      <w:r w:rsidRPr="00C943D5">
        <w:rPr>
          <w:b/>
          <w:color w:val="222222"/>
          <w:sz w:val="20"/>
          <w:szCs w:val="20"/>
          <w:lang w:val="en-IN" w:bidi="hi-IN"/>
        </w:rPr>
        <w:t>Moving data</w:t>
      </w:r>
      <w:r w:rsidRPr="00C943D5">
        <w:rPr>
          <w:color w:val="222222"/>
          <w:sz w:val="20"/>
          <w:szCs w:val="20"/>
          <w:lang w:val="en-IN" w:bidi="hi-IN"/>
        </w:rPr>
        <w:t>- General Architecture , Loading data with SQL *loader , Data pump ,  Data pump</w:t>
      </w:r>
      <w:r>
        <w:rPr>
          <w:color w:val="222222"/>
          <w:sz w:val="20"/>
          <w:szCs w:val="20"/>
          <w:lang w:val="en-IN" w:bidi="hi-IN"/>
        </w:rPr>
        <w:t xml:space="preserve"> </w:t>
      </w:r>
      <w:r w:rsidRPr="00C943D5">
        <w:rPr>
          <w:color w:val="222222"/>
          <w:sz w:val="20"/>
          <w:szCs w:val="20"/>
          <w:lang w:val="en-IN" w:bidi="hi-IN"/>
        </w:rPr>
        <w:t>export and import</w:t>
      </w:r>
      <w:r>
        <w:rPr>
          <w:color w:val="222222"/>
          <w:sz w:val="20"/>
          <w:szCs w:val="20"/>
          <w:lang w:val="en-IN" w:bidi="hi-IN"/>
        </w:rPr>
        <w:t>.</w:t>
      </w:r>
    </w:p>
    <w:p w:rsidR="00554EA2" w:rsidRPr="00C943D5" w:rsidRDefault="00554EA2" w:rsidP="00554EA2">
      <w:pPr>
        <w:spacing w:line="240" w:lineRule="auto"/>
        <w:ind w:left="0" w:hanging="2"/>
        <w:jc w:val="right"/>
        <w:rPr>
          <w:rFonts w:eastAsia="Calibri"/>
          <w:sz w:val="20"/>
          <w:szCs w:val="20"/>
          <w:lang w:bidi="hi-IN"/>
        </w:rPr>
      </w:pPr>
      <w:r w:rsidRPr="00C943D5">
        <w:rPr>
          <w:rFonts w:eastAsia="Calibri"/>
          <w:b/>
          <w:bCs/>
          <w:sz w:val="20"/>
          <w:szCs w:val="20"/>
          <w:lang w:val="en-IN" w:bidi="hi-IN"/>
        </w:rPr>
        <w:t xml:space="preserve">[T1][T2][No. of </w:t>
      </w:r>
      <w:r>
        <w:rPr>
          <w:rFonts w:eastAsia="Calibri"/>
          <w:b/>
          <w:bCs/>
          <w:sz w:val="20"/>
          <w:szCs w:val="20"/>
          <w:lang w:val="en-IN" w:bidi="hi-IN"/>
        </w:rPr>
        <w:t>H</w:t>
      </w:r>
      <w:r w:rsidRPr="00C943D5">
        <w:rPr>
          <w:rFonts w:eastAsia="Calibri"/>
          <w:b/>
          <w:bCs/>
          <w:sz w:val="20"/>
          <w:szCs w:val="20"/>
          <w:lang w:val="en-IN" w:bidi="hi-IN"/>
        </w:rPr>
        <w:t>rs. 11]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b/>
          <w:bCs/>
          <w:sz w:val="20"/>
          <w:szCs w:val="20"/>
          <w:lang w:val="en-IN" w:bidi="hi-IN"/>
        </w:rPr>
      </w:pPr>
      <w:r w:rsidRPr="00C943D5">
        <w:rPr>
          <w:rFonts w:eastAsia="Calibri"/>
          <w:b/>
          <w:bCs/>
          <w:sz w:val="20"/>
          <w:szCs w:val="20"/>
          <w:lang w:val="en-IN" w:bidi="hi-IN"/>
        </w:rPr>
        <w:t>Text</w:t>
      </w:r>
      <w:r>
        <w:rPr>
          <w:rFonts w:eastAsia="Calibri"/>
          <w:b/>
          <w:bCs/>
          <w:sz w:val="20"/>
          <w:szCs w:val="20"/>
          <w:lang w:val="en-IN" w:bidi="hi-IN"/>
        </w:rPr>
        <w:t xml:space="preserve"> Books</w:t>
      </w:r>
      <w:r w:rsidRPr="00C943D5">
        <w:rPr>
          <w:rFonts w:eastAsia="Calibri"/>
          <w:b/>
          <w:bCs/>
          <w:sz w:val="20"/>
          <w:szCs w:val="20"/>
          <w:lang w:val="en-IN" w:bidi="hi-IN"/>
        </w:rPr>
        <w:t>: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sz w:val="20"/>
          <w:szCs w:val="20"/>
          <w:lang w:val="en-IN" w:bidi="hi-IN"/>
        </w:rPr>
      </w:pPr>
      <w:r w:rsidRPr="00C943D5">
        <w:rPr>
          <w:rFonts w:eastAsia="Calibri"/>
          <w:sz w:val="20"/>
          <w:szCs w:val="20"/>
          <w:lang w:val="en-IN" w:bidi="hi-IN"/>
        </w:rPr>
        <w:t>[T1]</w:t>
      </w:r>
      <w:r>
        <w:rPr>
          <w:rFonts w:eastAsia="Calibri"/>
          <w:sz w:val="20"/>
          <w:szCs w:val="20"/>
          <w:lang w:val="en-IN" w:bidi="hi-IN"/>
        </w:rPr>
        <w:tab/>
      </w:r>
      <w:r w:rsidRPr="00C943D5">
        <w:rPr>
          <w:rFonts w:eastAsia="Calibri"/>
          <w:sz w:val="20"/>
          <w:szCs w:val="20"/>
          <w:lang w:val="en-IN" w:bidi="hi-IN"/>
        </w:rPr>
        <w:t xml:space="preserve">Sam R. Alapati  “ Expert Oracle Database 11G Administration “ Dreamtech Press. 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sz w:val="20"/>
          <w:szCs w:val="20"/>
          <w:lang w:val="en-IN" w:bidi="hi-IN"/>
        </w:rPr>
      </w:pPr>
      <w:r w:rsidRPr="00C943D5">
        <w:rPr>
          <w:rFonts w:eastAsia="Calibri"/>
          <w:sz w:val="20"/>
          <w:szCs w:val="20"/>
          <w:lang w:val="en-IN" w:bidi="hi-IN"/>
        </w:rPr>
        <w:t>[T2</w:t>
      </w:r>
      <w:r>
        <w:rPr>
          <w:rFonts w:eastAsia="Calibri"/>
          <w:sz w:val="20"/>
          <w:szCs w:val="20"/>
          <w:lang w:val="en-IN" w:bidi="hi-IN"/>
        </w:rPr>
        <w:t>]</w:t>
      </w:r>
      <w:r>
        <w:rPr>
          <w:rFonts w:eastAsia="Calibri"/>
          <w:sz w:val="20"/>
          <w:szCs w:val="20"/>
          <w:lang w:val="en-IN" w:bidi="hi-IN"/>
        </w:rPr>
        <w:tab/>
      </w:r>
      <w:r w:rsidRPr="00C943D5">
        <w:rPr>
          <w:rFonts w:eastAsia="Calibri"/>
          <w:sz w:val="20"/>
          <w:szCs w:val="20"/>
          <w:lang w:val="en-IN" w:bidi="hi-IN"/>
        </w:rPr>
        <w:t>Darl Kuhn   “Pro Oracle Database 11g Administration”</w:t>
      </w:r>
      <w:r>
        <w:rPr>
          <w:rFonts w:eastAsia="Calibri"/>
          <w:sz w:val="20"/>
          <w:szCs w:val="20"/>
          <w:lang w:val="en-IN" w:bidi="hi-IN"/>
        </w:rPr>
        <w:t>,</w:t>
      </w:r>
      <w:r w:rsidRPr="00C943D5">
        <w:rPr>
          <w:rFonts w:eastAsia="Calibri"/>
          <w:sz w:val="20"/>
          <w:szCs w:val="20"/>
          <w:lang w:val="en-IN" w:bidi="hi-IN"/>
        </w:rPr>
        <w:t xml:space="preserve"> Apress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sz w:val="20"/>
          <w:szCs w:val="20"/>
          <w:lang w:val="en-IN" w:bidi="hi-IN"/>
        </w:rPr>
      </w:pP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b/>
          <w:bCs/>
          <w:sz w:val="20"/>
          <w:szCs w:val="20"/>
          <w:lang w:val="en-IN" w:bidi="hi-IN"/>
        </w:rPr>
      </w:pPr>
      <w:r w:rsidRPr="00C943D5">
        <w:rPr>
          <w:rFonts w:eastAsia="Calibri"/>
          <w:b/>
          <w:bCs/>
          <w:sz w:val="20"/>
          <w:szCs w:val="20"/>
          <w:lang w:val="en-IN" w:bidi="hi-IN"/>
        </w:rPr>
        <w:t>References</w:t>
      </w:r>
      <w:r>
        <w:rPr>
          <w:rFonts w:eastAsia="Calibri"/>
          <w:b/>
          <w:bCs/>
          <w:sz w:val="20"/>
          <w:szCs w:val="20"/>
          <w:lang w:val="en-IN" w:bidi="hi-IN"/>
        </w:rPr>
        <w:t xml:space="preserve"> Books</w:t>
      </w:r>
      <w:r w:rsidRPr="00C943D5">
        <w:rPr>
          <w:rFonts w:eastAsia="Calibri"/>
          <w:b/>
          <w:bCs/>
          <w:sz w:val="20"/>
          <w:szCs w:val="20"/>
          <w:lang w:val="en-IN" w:bidi="hi-IN"/>
        </w:rPr>
        <w:t>: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sz w:val="20"/>
          <w:szCs w:val="20"/>
          <w:lang w:val="en-IN" w:bidi="hi-IN"/>
        </w:rPr>
      </w:pPr>
      <w:r>
        <w:rPr>
          <w:rFonts w:eastAsia="Calibri"/>
          <w:sz w:val="20"/>
          <w:szCs w:val="20"/>
          <w:lang w:val="en-IN" w:bidi="hi-IN"/>
        </w:rPr>
        <w:t>[R1]</w:t>
      </w:r>
      <w:r>
        <w:rPr>
          <w:rFonts w:eastAsia="Calibri"/>
          <w:sz w:val="20"/>
          <w:szCs w:val="20"/>
          <w:lang w:val="en-IN" w:bidi="hi-IN"/>
        </w:rPr>
        <w:tab/>
      </w:r>
      <w:r w:rsidRPr="00C943D5">
        <w:rPr>
          <w:rFonts w:eastAsia="Calibri"/>
          <w:sz w:val="20"/>
          <w:szCs w:val="20"/>
          <w:lang w:val="en-IN" w:bidi="hi-IN"/>
        </w:rPr>
        <w:t>Ken Simmons, Sylvester, Carstarphen” Pro SQL Server 2012 Administration”, Dreamtech Press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sz w:val="20"/>
          <w:szCs w:val="20"/>
          <w:lang w:val="en-IN" w:bidi="hi-IN"/>
        </w:rPr>
      </w:pPr>
      <w:r>
        <w:rPr>
          <w:rFonts w:eastAsia="Calibri"/>
          <w:sz w:val="20"/>
          <w:szCs w:val="20"/>
          <w:lang w:val="en-IN" w:bidi="hi-IN"/>
        </w:rPr>
        <w:t>[R2]</w:t>
      </w:r>
      <w:r>
        <w:rPr>
          <w:rFonts w:eastAsia="Calibri"/>
          <w:sz w:val="20"/>
          <w:szCs w:val="20"/>
          <w:lang w:val="en-IN" w:bidi="hi-IN"/>
        </w:rPr>
        <w:tab/>
      </w:r>
      <w:r w:rsidRPr="00C943D5">
        <w:rPr>
          <w:rFonts w:eastAsia="Calibri"/>
          <w:sz w:val="20"/>
          <w:szCs w:val="20"/>
          <w:lang w:val="en-IN" w:bidi="hi-IN"/>
        </w:rPr>
        <w:t>Sheeri K Cabral, Keith Murphy,” MySQL Administrator's Bible” John Wiley &amp; Sons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rFonts w:eastAsia="Calibri"/>
          <w:sz w:val="20"/>
          <w:szCs w:val="20"/>
          <w:lang w:val="en-IN" w:bidi="hi-IN"/>
        </w:rPr>
      </w:pPr>
      <w:r>
        <w:rPr>
          <w:rFonts w:eastAsia="Calibri"/>
          <w:sz w:val="20"/>
          <w:szCs w:val="20"/>
          <w:lang w:val="en-IN" w:bidi="hi-IN"/>
        </w:rPr>
        <w:t>[R3]</w:t>
      </w:r>
      <w:r>
        <w:rPr>
          <w:rFonts w:eastAsia="Calibri"/>
          <w:sz w:val="20"/>
          <w:szCs w:val="20"/>
          <w:lang w:val="en-IN" w:bidi="hi-IN"/>
        </w:rPr>
        <w:tab/>
      </w:r>
      <w:r w:rsidRPr="00C943D5">
        <w:rPr>
          <w:rFonts w:eastAsia="Calibri"/>
          <w:sz w:val="20"/>
          <w:szCs w:val="20"/>
          <w:lang w:val="en-IN" w:bidi="hi-IN"/>
        </w:rPr>
        <w:t>Steve Fogel, Paul Lane, “Oracle</w:t>
      </w:r>
      <w:r w:rsidRPr="00C943D5">
        <w:rPr>
          <w:sz w:val="20"/>
          <w:szCs w:val="20"/>
          <w:lang w:val="en-IN" w:eastAsia="en-IN" w:bidi="hi-IN"/>
        </w:rPr>
        <w:t xml:space="preserve"> Database Administrator’s Guide, 10g” </w:t>
      </w:r>
      <w:r w:rsidRPr="00C943D5">
        <w:rPr>
          <w:rFonts w:eastAsia="Calibri"/>
          <w:sz w:val="20"/>
          <w:szCs w:val="20"/>
          <w:lang w:val="en-IN" w:bidi="hi-IN"/>
        </w:rPr>
        <w:t>Oracle</w:t>
      </w:r>
    </w:p>
    <w:p w:rsidR="00554EA2" w:rsidRPr="00C943D5" w:rsidRDefault="00554EA2" w:rsidP="00554EA2">
      <w:pPr>
        <w:spacing w:line="240" w:lineRule="auto"/>
        <w:ind w:left="0" w:hanging="2"/>
        <w:jc w:val="both"/>
        <w:rPr>
          <w:sz w:val="20"/>
          <w:szCs w:val="20"/>
          <w:lang w:val="en-IN" w:eastAsia="en-IN" w:bidi="hi-IN"/>
        </w:rPr>
      </w:pPr>
      <w:r w:rsidRPr="00C943D5">
        <w:rPr>
          <w:rFonts w:eastAsia="Calibri"/>
          <w:sz w:val="20"/>
          <w:szCs w:val="20"/>
          <w:lang w:val="en-IN" w:bidi="hi-IN"/>
        </w:rPr>
        <w:t>[R4</w:t>
      </w:r>
      <w:r>
        <w:rPr>
          <w:rFonts w:eastAsia="Calibri"/>
          <w:sz w:val="20"/>
          <w:szCs w:val="20"/>
          <w:lang w:val="en-IN" w:bidi="hi-IN"/>
        </w:rPr>
        <w:t>]</w:t>
      </w:r>
      <w:r>
        <w:rPr>
          <w:rFonts w:eastAsia="Calibri"/>
          <w:sz w:val="20"/>
          <w:szCs w:val="20"/>
          <w:lang w:val="en-IN" w:bidi="hi-IN"/>
        </w:rPr>
        <w:tab/>
      </w:r>
      <w:r w:rsidRPr="00C943D5">
        <w:rPr>
          <w:rFonts w:eastAsia="Calibri"/>
          <w:sz w:val="20"/>
          <w:szCs w:val="20"/>
          <w:lang w:val="en-IN" w:bidi="hi-IN"/>
        </w:rPr>
        <w:t>Craig S. Mullins, “</w:t>
      </w:r>
      <w:r w:rsidRPr="00C943D5">
        <w:rPr>
          <w:sz w:val="20"/>
          <w:szCs w:val="20"/>
          <w:lang w:val="en-IN" w:eastAsia="en-IN" w:bidi="hi-IN"/>
        </w:rPr>
        <w:t>Database Administration”, Addison-Wesley</w:t>
      </w:r>
    </w:p>
    <w:p w:rsidR="00BF4EE5" w:rsidRPr="00554EA2" w:rsidRDefault="00BF4EE5" w:rsidP="00554EA2">
      <w:pPr>
        <w:ind w:left="0" w:hanging="2"/>
      </w:pPr>
    </w:p>
    <w:sectPr w:rsidR="00BF4EE5" w:rsidRPr="00554EA2" w:rsidSect="00BF4EE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9" w:h="16834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CB8" w:rsidRDefault="006A2CB8" w:rsidP="003D5A59">
      <w:pPr>
        <w:spacing w:line="240" w:lineRule="auto"/>
        <w:ind w:left="0" w:hanging="2"/>
      </w:pPr>
      <w:r>
        <w:separator/>
      </w:r>
    </w:p>
  </w:endnote>
  <w:endnote w:type="continuationSeparator" w:id="1">
    <w:p w:rsidR="006A2CB8" w:rsidRDefault="006A2CB8" w:rsidP="003D5A5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B65" w:rsidRDefault="00272B65" w:rsidP="00272B65">
    <w:pPr>
      <w:pStyle w:val="Footer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E5" w:rsidRDefault="005406B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0"/>
        <w:szCs w:val="20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0</wp:posOffset>
            </wp:positionV>
            <wp:extent cx="5467350" cy="54610"/>
            <wp:wrapNone/>
            <wp:docPr id="1" name=""/>
            <a:graphic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67350" cy="54610"/>
                    </a:xfrm>
                    <a:prstGeom prst="flowChartDecision"/>
                    <a:solidFill>
                      <a:srgbClr val="000000"/>
                    </a:solidFill>
                    <a:ln cap="flat" cmpd="sng" w="9525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bodyPr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</wp:posOffset>
              </wp:positionH>
              <wp:positionV relativeFrom="paragraph">
                <wp:posOffset>0</wp:posOffset>
              </wp:positionV>
              <wp:extent cx="5467350" cy="5461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7350" cy="5461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BF4EE5" w:rsidRDefault="004315B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 w:rsidR="005406B0"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8A24D3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:rsidR="00BF4EE5" w:rsidRDefault="00BF4EE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B65" w:rsidRDefault="00272B65" w:rsidP="00272B65">
    <w:pPr>
      <w:pStyle w:val="Footer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CB8" w:rsidRDefault="006A2CB8" w:rsidP="003D5A59">
      <w:pPr>
        <w:spacing w:line="240" w:lineRule="auto"/>
        <w:ind w:left="0" w:hanging="2"/>
      </w:pPr>
      <w:r>
        <w:separator/>
      </w:r>
    </w:p>
  </w:footnote>
  <w:footnote w:type="continuationSeparator" w:id="1">
    <w:p w:rsidR="006A2CB8" w:rsidRDefault="006A2CB8" w:rsidP="003D5A5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B65" w:rsidRDefault="00272B65" w:rsidP="00272B65">
    <w:pPr>
      <w:pStyle w:val="Header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B65" w:rsidRDefault="00272B65" w:rsidP="00272B65">
    <w:pPr>
      <w:pStyle w:val="Header"/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B65" w:rsidRDefault="00272B65" w:rsidP="00272B65">
    <w:pPr>
      <w:pStyle w:val="Header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1E23"/>
    <w:multiLevelType w:val="multilevel"/>
    <w:tmpl w:val="BA48D0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D072DFD"/>
    <w:multiLevelType w:val="multilevel"/>
    <w:tmpl w:val="076CF9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E0B3E70"/>
    <w:multiLevelType w:val="multilevel"/>
    <w:tmpl w:val="32B4A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66C04F1"/>
    <w:multiLevelType w:val="multilevel"/>
    <w:tmpl w:val="A00EDD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7F0F2915"/>
    <w:multiLevelType w:val="multilevel"/>
    <w:tmpl w:val="A9E06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EE5"/>
    <w:rsid w:val="00272B65"/>
    <w:rsid w:val="00283E29"/>
    <w:rsid w:val="002C4804"/>
    <w:rsid w:val="00346773"/>
    <w:rsid w:val="003D5A59"/>
    <w:rsid w:val="004315BF"/>
    <w:rsid w:val="005406B0"/>
    <w:rsid w:val="00554EA2"/>
    <w:rsid w:val="005705F3"/>
    <w:rsid w:val="006A2CB8"/>
    <w:rsid w:val="007749BE"/>
    <w:rsid w:val="00802E0F"/>
    <w:rsid w:val="008A24D3"/>
    <w:rsid w:val="00A1157C"/>
    <w:rsid w:val="00B2510A"/>
    <w:rsid w:val="00B41D8C"/>
    <w:rsid w:val="00BF4EE5"/>
    <w:rsid w:val="00E36E20"/>
    <w:rsid w:val="00E5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BF4EE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BF4EE5"/>
    <w:pPr>
      <w:keepNext/>
      <w:jc w:val="center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autoRedefine/>
    <w:hidden/>
    <w:qFormat/>
    <w:rsid w:val="00BF4EE5"/>
    <w:pPr>
      <w:keepNext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autoRedefine/>
    <w:hidden/>
    <w:qFormat/>
    <w:rsid w:val="00BF4EE5"/>
    <w:pPr>
      <w:keepNext/>
      <w:pBdr>
        <w:bottom w:val="thinThickSmallGap" w:sz="12" w:space="1" w:color="auto"/>
      </w:pBdr>
      <w:shd w:val="clear" w:color="auto" w:fill="E6E6E6"/>
      <w:jc w:val="center"/>
      <w:outlineLvl w:val="2"/>
    </w:pPr>
    <w:rPr>
      <w:rFonts w:ascii="Arial Narrow" w:hAnsi="Arial Narrow"/>
      <w:b/>
      <w:smallCaps/>
    </w:rPr>
  </w:style>
  <w:style w:type="paragraph" w:styleId="Heading4">
    <w:name w:val="heading 4"/>
    <w:basedOn w:val="normal0"/>
    <w:next w:val="normal0"/>
    <w:rsid w:val="00BF4E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F4E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F4E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4EE5"/>
  </w:style>
  <w:style w:type="paragraph" w:styleId="Title">
    <w:name w:val="Title"/>
    <w:basedOn w:val="normal0"/>
    <w:next w:val="normal0"/>
    <w:rsid w:val="00BF4EE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autoRedefine/>
    <w:hidden/>
    <w:qFormat/>
    <w:rsid w:val="00BF4EE5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2">
    <w:name w:val="Body Text 2"/>
    <w:basedOn w:val="Normal"/>
    <w:autoRedefine/>
    <w:hidden/>
    <w:qFormat/>
    <w:rsid w:val="00BF4EE5"/>
    <w:rPr>
      <w:rFonts w:ascii="Arial Narrow" w:eastAsia="SimSun" w:hAnsi="Arial Narrow"/>
      <w:sz w:val="22"/>
      <w:szCs w:val="20"/>
    </w:rPr>
  </w:style>
  <w:style w:type="paragraph" w:styleId="Footer">
    <w:name w:val="footer"/>
    <w:basedOn w:val="Normal"/>
    <w:autoRedefine/>
    <w:hidden/>
    <w:qFormat/>
    <w:rsid w:val="00BF4EE5"/>
    <w:pPr>
      <w:tabs>
        <w:tab w:val="center" w:pos="4680"/>
        <w:tab w:val="right" w:pos="9360"/>
      </w:tabs>
    </w:pPr>
    <w:rPr>
      <w:sz w:val="20"/>
      <w:szCs w:val="20"/>
    </w:rPr>
  </w:style>
  <w:style w:type="character" w:styleId="FollowedHyperlink">
    <w:name w:val="FollowedHyperlink"/>
    <w:basedOn w:val="DefaultParagraphFont"/>
    <w:autoRedefine/>
    <w:hidden/>
    <w:qFormat/>
    <w:rsid w:val="00BF4EE5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autoRedefine/>
    <w:hidden/>
    <w:qFormat/>
    <w:rsid w:val="00BF4EE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BF4E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272B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B65"/>
    <w:rPr>
      <w:position w:val="-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ssword_management" TargetMode="External"/><Relationship Id="rId13" Type="http://schemas.openxmlformats.org/officeDocument/2006/relationships/hyperlink" Target="https://docs.oracle.com/cd/B19306_01/server.102/b14220/startup.htm" TargetMode="External"/><Relationship Id="rId18" Type="http://schemas.openxmlformats.org/officeDocument/2006/relationships/hyperlink" Target="https://docs.oracle.com/cd/B19306_01/server.102/b14231/tspaces.htm" TargetMode="External"/><Relationship Id="rId26" Type="http://schemas.openxmlformats.org/officeDocument/2006/relationships/hyperlink" Target="https://oracle-base.com/articles/8i/index-organized-tables" TargetMode="External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://dwhlaureate.blogspot.com/2012/08/what-is-partition-in-oraclewhy-to-use.html" TargetMode="External"/><Relationship Id="rId34" Type="http://schemas.openxmlformats.org/officeDocument/2006/relationships/header" Target="header1.xml"/><Relationship Id="rId7" Type="http://schemas.openxmlformats.org/officeDocument/2006/relationships/hyperlink" Target="https://blogs.oracle.com/db/overview-of-database-configuration-assistant-dbca" TargetMode="External"/><Relationship Id="rId12" Type="http://schemas.openxmlformats.org/officeDocument/2006/relationships/hyperlink" Target="https://docs.oracle.com/cd/B19306_01/server.102/b14237/initparams003.htm" TargetMode="External"/><Relationship Id="rId17" Type="http://schemas.openxmlformats.org/officeDocument/2006/relationships/hyperlink" Target="https://oracle-base.com/articles/9i/automatic-segment-free-space-management" TargetMode="External"/><Relationship Id="rId25" Type="http://schemas.openxmlformats.org/officeDocument/2006/relationships/hyperlink" Target="http://psoug.org/definition/heap.htm" TargetMode="External"/><Relationship Id="rId33" Type="http://schemas.openxmlformats.org/officeDocument/2006/relationships/hyperlink" Target="https://en.wikibooks.org/wiki/Oracle_Database/Monitoring_and_Resolving_Lock_Conflicts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ocs.oracle.com/cd/B19306_01/server.102/b14220/physical.htm" TargetMode="External"/><Relationship Id="rId20" Type="http://schemas.openxmlformats.org/officeDocument/2006/relationships/hyperlink" Target="https://docs.oracle.com/cd/B19306_01/server.102/b14231/general.htm" TargetMode="External"/><Relationship Id="rId29" Type="http://schemas.openxmlformats.org/officeDocument/2006/relationships/hyperlink" Target="http://www.dba-oracle.com/t_sorted_hash_clusters.ht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html/E25494_01/dbcontrol003.htm" TargetMode="External"/><Relationship Id="rId24" Type="http://schemas.openxmlformats.org/officeDocument/2006/relationships/hyperlink" Target="https://oracle-base.com/articles/8i/index-organized-tables" TargetMode="External"/><Relationship Id="rId32" Type="http://schemas.openxmlformats.org/officeDocument/2006/relationships/hyperlink" Target="http://www.methodsandtools.com/archive/archive.php?id=83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haifux.org/lectures/148/db-interanls-cbo.pdf" TargetMode="External"/><Relationship Id="rId23" Type="http://schemas.openxmlformats.org/officeDocument/2006/relationships/hyperlink" Target="http://etutorials.org/SQL/Mastering+Oracle+SQL/Chapter+10.+Partitioning/10.4+Partitioning+Methods/" TargetMode="External"/><Relationship Id="rId28" Type="http://schemas.openxmlformats.org/officeDocument/2006/relationships/hyperlink" Target="http://www.dba-oracle.com/real_application_clusters_rac_grid/cluster_types.htm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ocs.oracle.com/cd/B16351_01/doc/server.102/b14196/instance001.htm" TargetMode="External"/><Relationship Id="rId19" Type="http://schemas.openxmlformats.org/officeDocument/2006/relationships/hyperlink" Target="https://docs.oracle.com/cd/B19306_01/network.102/b14266/admusers.htm" TargetMode="External"/><Relationship Id="rId31" Type="http://schemas.openxmlformats.org/officeDocument/2006/relationships/hyperlink" Target="https://docs.oracle.com/cd/B25329_01/doc/appdev.102/b25108/xedev_program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database/121/ADMQS/GUID-C0DDA1A8-90CE-4A99-8C3B-B72A40D96D0B.htm" TargetMode="External"/><Relationship Id="rId14" Type="http://schemas.openxmlformats.org/officeDocument/2006/relationships/hyperlink" Target="https://docs.oracle.com/cd/E11882_01/server.112/e10897/storage.htm" TargetMode="External"/><Relationship Id="rId22" Type="http://schemas.openxmlformats.org/officeDocument/2006/relationships/hyperlink" Target="https://docs.oracle.com/cd/E18283_01/server.112/e16541/part_admin001.htm" TargetMode="External"/><Relationship Id="rId27" Type="http://schemas.openxmlformats.org/officeDocument/2006/relationships/hyperlink" Target="https://docs.oracle.com/cd/B28359_01/server.111/b28310/clustrs001.htm" TargetMode="External"/><Relationship Id="rId30" Type="http://schemas.openxmlformats.org/officeDocument/2006/relationships/hyperlink" Target="https://searchsqlserver.techtarget.com/feature/SQL-Server-and-data-manipulation-in-T-SQL" TargetMode="External"/><Relationship Id="rId35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2018-09-20T11:15:00Z</dcterms:created>
  <dcterms:modified xsi:type="dcterms:W3CDTF">2018-09-20T11:15:00Z</dcterms:modified>
</cp:coreProperties>
</file>