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072"/>
      </w:tblGrid>
      <w:tr>
        <w:tc>
          <w:tcPr>
            <w:tcW w:type="dxa" w:w="9072"/>
          </w:tcPr>
          <w:p>
            <w:pPr>
              <w:jc w:val="center"/>
            </w:pPr>
            <w:r/>
            <w:r>
              <w:rPr>
                <w:rFonts w:ascii="Times New Roman" w:hAnsi="Times New Roman"/>
                <w:b/>
                <w:i w:val="0"/>
                <w:sz w:val="22"/>
              </w:rPr>
              <w:t>Tekirdağ Namık Kemal Üniversitesi</w:t>
            </w:r>
          </w:p>
          <w:p>
            <w:pPr>
              <w:jc w:val="center"/>
            </w:pPr>
            <w:r>
              <w:rPr>
                <w:rFonts w:ascii="Times New Roman" w:hAnsi="Times New Roman"/>
                <w:b/>
                <w:i w:val="0"/>
                <w:sz w:val="22"/>
              </w:rPr>
              <w:t>Fen Bilimleri Enstitüsü</w:t>
            </w:r>
          </w:p>
          <w:p>
            <w:pPr>
              <w:jc w:val="center"/>
            </w:pPr>
            <w:r>
              <w:rPr>
                <w:rFonts w:ascii="Times New Roman" w:hAnsi="Times New Roman"/>
                <w:b/>
                <w:i w:val="0"/>
                <w:sz w:val="22"/>
              </w:rPr>
              <w:t>Tez Makalesi</w:t>
            </w:r>
          </w:p>
          <w:p>
            <w:pPr>
              <w:jc w:val="center"/>
            </w:pPr>
            <w:r>
              <w:rPr>
                <w:rFonts w:ascii="Times New Roman" w:hAnsi="Times New Roman"/>
                <w:b w:val="0"/>
                <w:i w:val="0"/>
                <w:sz w:val="22"/>
              </w:rPr>
              <w:t>http://fbe.nku.edu.tr</w:t>
            </w:r>
          </w:p>
        </w:tc>
      </w:tr>
    </w:tbl>
    <w:p/>
    <w:p>
      <w:pPr>
        <w:spacing w:after="120"/>
        <w:jc w:val="center"/>
      </w:pPr>
      <w:r>
        <w:rPr>
          <w:rFonts w:ascii="Times New Roman" w:hAnsi="Times New Roman"/>
          <w:b/>
          <w:i w:val="0"/>
          <w:sz w:val="28"/>
        </w:rPr>
        <w:t>Kolektif Öğrenme Modelleriyle At Yarışı Tahmini: Sızıntısız Doğrulama, Piyasa Sinyali Ablasyonu ve İstatistiksel Bahis Kenarı Analizi</w:t>
      </w:r>
    </w:p>
    <w:p>
      <w:pPr>
        <w:jc w:val="center"/>
      </w:pPr>
      <w:r>
        <w:rPr>
          <w:rFonts w:ascii="Times New Roman" w:hAnsi="Times New Roman"/>
          <w:b w:val="0"/>
          <w:i w:val="0"/>
          <w:sz w:val="24"/>
        </w:rPr>
        <w:t>Aibatyr Amanzholov</w:t>
      </w:r>
      <w:r>
        <w:rPr>
          <w:rFonts w:ascii="Times New Roman" w:hAnsi="Times New Roman"/>
          <w:b w:val="0"/>
          <w:i w:val="0"/>
          <w:sz w:val="24"/>
          <w:vertAlign w:val="superscript"/>
        </w:rPr>
        <w:t>1</w:t>
      </w:r>
      <w:r>
        <w:rPr>
          <w:rFonts w:ascii="Times New Roman" w:hAnsi="Times New Roman"/>
          <w:b w:val="0"/>
          <w:i w:val="0"/>
          <w:sz w:val="24"/>
        </w:rPr>
        <w:t xml:space="preserve">, </w:t>
      </w:r>
      <w:r>
        <w:rPr>
          <w:rFonts w:ascii="Times New Roman" w:hAnsi="Times New Roman"/>
          <w:b w:val="0"/>
          <w:i w:val="0"/>
          <w:sz w:val="24"/>
        </w:rPr>
        <w:t>Pınar Cihan</w:t>
      </w:r>
      <w:r>
        <w:rPr>
          <w:rFonts w:ascii="Times New Roman" w:hAnsi="Times New Roman"/>
          <w:b w:val="0"/>
          <w:i w:val="0"/>
          <w:sz w:val="24"/>
          <w:vertAlign w:val="superscript"/>
        </w:rPr>
        <w:t>2</w:t>
      </w:r>
    </w:p>
    <w:p>
      <w:pPr>
        <w:spacing w:after="120"/>
        <w:jc w:val="center"/>
      </w:pPr>
      <w:r>
        <w:rPr>
          <w:rFonts w:ascii="Times New Roman" w:hAnsi="Times New Roman"/>
          <w:b w:val="0"/>
          <w:i w:val="0"/>
          <w:sz w:val="20"/>
        </w:rPr>
        <w:t>1 e-posta: 1220606648@gmail.com</w:t>
      </w:r>
    </w:p>
    <w:p>
      <w:pPr>
        <w:spacing w:after="120"/>
        <w:jc w:val="center"/>
      </w:pPr>
      <w:r>
        <w:rPr>
          <w:rFonts w:ascii="Times New Roman" w:hAnsi="Times New Roman"/>
          <w:b w:val="0"/>
          <w:i w:val="0"/>
          <w:sz w:val="20"/>
        </w:rPr>
        <w:t>2 e-posta: pkaya@nku.edu.tr</w:t>
      </w:r>
    </w:p>
    <w:p/>
    <w:tbl>
      <w:tblPr>
        <w:tblStyle w:val="TableGrid"/>
        <w:tblW w:type="auto" w:w="0"/>
        <w:tblLook w:firstColumn="1" w:firstRow="1" w:lastColumn="0" w:lastRow="0" w:noHBand="0" w:noVBand="1" w:val="04A0"/>
      </w:tblPr>
      <w:tblGrid>
        <w:gridCol w:w="4536"/>
        <w:gridCol w:w="4536"/>
      </w:tblGrid>
      <w:tr>
        <w:tc>
          <w:tcPr>
            <w:tcW w:type="dxa" w:w="4536"/>
            <w:vAlign w:val="center"/>
          </w:tcPr>
          <w:p>
            <w:pPr>
              <w:jc w:val="center"/>
            </w:pPr>
            <w:r/>
            <w:r>
              <w:rPr>
                <w:rFonts w:ascii="Times New Roman" w:hAnsi="Times New Roman"/>
                <w:b/>
                <w:i w:val="0"/>
                <w:sz w:val="20"/>
              </w:rPr>
              <w:t>Tez Kabulü</w:t>
            </w:r>
          </w:p>
        </w:tc>
        <w:tc>
          <w:tcPr>
            <w:tcW w:type="dxa" w:w="4536"/>
            <w:vAlign w:val="center"/>
          </w:tcPr>
          <w:p>
            <w:pPr>
              <w:jc w:val="center"/>
            </w:pPr>
            <w:r/>
            <w:r>
              <w:rPr>
                <w:rFonts w:ascii="Times New Roman" w:hAnsi="Times New Roman"/>
                <w:b/>
                <w:i w:val="0"/>
                <w:sz w:val="20"/>
              </w:rPr>
              <w:t>Makale Türü</w:t>
            </w:r>
          </w:p>
        </w:tc>
      </w:tr>
      <w:tr>
        <w:tc>
          <w:tcPr>
            <w:tcW w:type="dxa" w:w="4536"/>
            <w:vAlign w:val="center"/>
          </w:tcPr>
          <w:p>
            <w:pPr>
              <w:jc w:val="center"/>
            </w:pPr>
            <w:r/>
            <w:r>
              <w:rPr>
                <w:rFonts w:ascii="Times New Roman" w:hAnsi="Times New Roman"/>
                <w:b w:val="0"/>
                <w:i w:val="0"/>
                <w:sz w:val="20"/>
              </w:rPr>
              <w:t>06 Ekim 2021</w:t>
            </w:r>
          </w:p>
        </w:tc>
        <w:tc>
          <w:tcPr>
            <w:tcW w:type="dxa" w:w="4536"/>
            <w:vAlign w:val="center"/>
          </w:tcPr>
          <w:p>
            <w:pPr>
              <w:jc w:val="center"/>
            </w:pPr>
            <w:r/>
            <w:r>
              <w:rPr>
                <w:rFonts w:ascii="Times New Roman" w:hAnsi="Times New Roman"/>
                <w:b w:val="0"/>
                <w:i w:val="0"/>
                <w:sz w:val="20"/>
              </w:rPr>
              <w:t>Araştırma Makalesi / Research Article</w:t>
            </w:r>
          </w:p>
        </w:tc>
      </w:tr>
      <w:tr>
        <w:tc>
          <w:tcPr>
            <w:tcW w:type="dxa" w:w="4536"/>
            <w:vAlign w:val="center"/>
          </w:tcPr>
          <w:p>
            <w:pPr>
              <w:jc w:val="center"/>
            </w:pPr>
            <w:r/>
            <w:r>
              <w:rPr>
                <w:rFonts w:ascii="Times New Roman" w:hAnsi="Times New Roman"/>
                <w:b/>
                <w:i w:val="0"/>
                <w:sz w:val="20"/>
              </w:rPr>
              <w:t>Anahtar Kelimeler</w:t>
            </w:r>
          </w:p>
        </w:tc>
        <w:tc>
          <w:tcPr>
            <w:tcW w:type="dxa" w:w="4536"/>
            <w:vAlign w:val="center"/>
          </w:tcPr>
          <w:p>
            <w:pPr>
              <w:jc w:val="center"/>
            </w:pPr>
            <w:r/>
            <w:r>
              <w:rPr>
                <w:rFonts w:ascii="Times New Roman" w:hAnsi="Times New Roman"/>
                <w:b/>
                <w:i w:val="0"/>
                <w:sz w:val="20"/>
              </w:rPr>
              <w:t>Özet</w:t>
            </w:r>
          </w:p>
        </w:tc>
      </w:tr>
      <w:tr>
        <w:tc>
          <w:tcPr>
            <w:tcW w:type="dxa" w:w="4536"/>
            <w:vAlign w:val="center"/>
          </w:tcPr>
          <w:p>
            <w:pPr>
              <w:jc w:val="left"/>
            </w:pPr>
            <w:r/>
            <w:r>
              <w:rPr>
                <w:rFonts w:ascii="Times New Roman" w:hAnsi="Times New Roman"/>
                <w:b w:val="0"/>
                <w:i w:val="0"/>
                <w:sz w:val="20"/>
              </w:rPr>
              <w:t>Yapay zeka,</w:t>
            </w:r>
          </w:p>
          <w:p>
            <w:pPr>
              <w:jc w:val="left"/>
            </w:pPr>
            <w:r>
              <w:rPr>
                <w:rFonts w:ascii="Times New Roman" w:hAnsi="Times New Roman"/>
                <w:b w:val="0"/>
                <w:i w:val="0"/>
                <w:sz w:val="20"/>
              </w:rPr>
              <w:t>Topluluk modelleri,</w:t>
            </w:r>
          </w:p>
          <w:p>
            <w:pPr>
              <w:jc w:val="left"/>
            </w:pPr>
            <w:r>
              <w:rPr>
                <w:rFonts w:ascii="Times New Roman" w:hAnsi="Times New Roman"/>
                <w:b w:val="0"/>
                <w:i w:val="0"/>
                <w:sz w:val="20"/>
              </w:rPr>
              <w:t>At yarışı tahmini,</w:t>
            </w:r>
          </w:p>
          <w:p>
            <w:pPr>
              <w:jc w:val="left"/>
            </w:pPr>
            <w:r>
              <w:rPr>
                <w:rFonts w:ascii="Times New Roman" w:hAnsi="Times New Roman"/>
                <w:b w:val="0"/>
                <w:i w:val="0"/>
                <w:sz w:val="20"/>
              </w:rPr>
              <w:t>Zaman-serisi çapraz doğrulama,</w:t>
            </w:r>
          </w:p>
          <w:p>
            <w:pPr>
              <w:jc w:val="left"/>
            </w:pPr>
            <w:r>
              <w:rPr>
                <w:rFonts w:ascii="Times New Roman" w:hAnsi="Times New Roman"/>
                <w:b w:val="0"/>
                <w:i w:val="0"/>
                <w:sz w:val="20"/>
              </w:rPr>
              <w:t>Olasılık kalibrasyonu,</w:t>
            </w:r>
          </w:p>
          <w:p>
            <w:pPr>
              <w:jc w:val="left"/>
            </w:pPr>
            <w:r>
              <w:rPr>
                <w:rFonts w:ascii="Times New Roman" w:hAnsi="Times New Roman"/>
                <w:b w:val="0"/>
                <w:i w:val="0"/>
                <w:sz w:val="20"/>
              </w:rPr>
              <w:t>McNemar testi,</w:t>
            </w:r>
          </w:p>
          <w:p>
            <w:pPr>
              <w:jc w:val="left"/>
            </w:pPr>
            <w:r>
              <w:rPr>
                <w:rFonts w:ascii="Times New Roman" w:hAnsi="Times New Roman"/>
                <w:b w:val="0"/>
                <w:i w:val="0"/>
                <w:sz w:val="20"/>
              </w:rPr>
              <w:t>LightGBM,</w:t>
            </w:r>
          </w:p>
          <w:p>
            <w:pPr>
              <w:jc w:val="left"/>
            </w:pPr>
            <w:r>
              <w:rPr>
                <w:rFonts w:ascii="Times New Roman" w:hAnsi="Times New Roman"/>
                <w:b w:val="0"/>
                <w:i w:val="0"/>
                <w:sz w:val="20"/>
              </w:rPr>
              <w:t>XGBoost</w:t>
            </w:r>
          </w:p>
        </w:tc>
        <w:tc>
          <w:tcPr>
            <w:tcW w:type="dxa" w:w="4536"/>
            <w:vAlign w:val="center"/>
          </w:tcPr>
          <w:p>
            <w:pPr>
              <w:jc w:val="both"/>
            </w:pPr>
            <w:r/>
            <w:r>
              <w:rPr>
                <w:rFonts w:ascii="Times New Roman" w:hAnsi="Times New Roman"/>
                <w:b w:val="0"/>
                <w:i w:val="0"/>
                <w:sz w:val="20"/>
              </w:rPr>
              <w:t>Yapay zeka teknolojileri spor veri analitiğinde önemli ilerlemeler sağlamasına rağmen, at yarışı tahmininde sızıntısız (leakage-free) doğrulama ve istatistiksel anlamlılık testleriyle desteklenmiş çok boyutlu çalışmalar sınırlı kalmıştır. Bu çalışmada, Türkiye Jokey Kulübü (TJK) bünyesindeki profesyonel yerli at yarışlarında birinciyi (Is_Winner) ve ilk üçü (Is_Top3) tahmin etmek amacıyla 9 farklı makine öğrenmesi/topluluk modelinin performansı, ileri-zincirli zaman-serisi çapraz doğrulaması (TimeSeriesSplit) ile sızıntısız biçimde karşılaştırılmıştır. 73.036 yerli yarış kaydı (7.303 yarış, 432 gün) üzerinde Optuna ile optimize edilen modellerden, birinci tahmininde CatBoost en yüksek ayırt ediciliğe (AUC=0.8452), StackingEnsemble en yüksek pratik getiriye (P@1=%40.6, Değer Bahsi ROI=+%94.3) ulaşmıştır; tabela tahmininde ise StackingEnsemble (AUC=0.8200, P@1=%73.3, P@3=%96.4) öne çıkmıştır. Piyasa sinyali (Ganyan oranı) çıkarıldığında AUC'deki ortalama düşüş yalnızca 0.0227-0.0252 olup, modelin gücünün büyük ölçüde piyasadan bağımsız özelliklerden geldiğini göstermiştir. Modelin piyasaya karşı seçim isabeti, McNemar testiyle altı bahis türünün beşinde istatistiksel olarak anlamlı bulunmuştur (Ganyan: +6.7 puan, p=9.6×10⁻³²). Kalibrasyon analizi, kazanan olasılıklarının neredeyse kusursuz (ECE=0.0075), tabela olasılıklarının ise sınıf-dengeleme kaynaklı aşırı güvenli (ECE=0.1340) olduğunu ortaya koymuş; üretim zincirine eklenen isotonic kalibrasyonla her iki hedefte ECE sıfıra indirilmiştir.</w:t>
            </w:r>
          </w:p>
        </w:tc>
      </w:tr>
    </w:tbl>
    <w:p/>
    <w:p>
      <w:pPr>
        <w:spacing w:after="120"/>
        <w:jc w:val="both"/>
      </w:pPr>
      <w:r>
        <w:rPr>
          <w:rFonts w:ascii="Times New Roman" w:hAnsi="Times New Roman"/>
          <w:b/>
          <w:i w:val="0"/>
          <w:sz w:val="24"/>
        </w:rPr>
        <w:t>GİRİŞ</w:t>
      </w:r>
    </w:p>
    <w:p>
      <w:pPr>
        <w:spacing w:after="120"/>
        <w:jc w:val="both"/>
      </w:pPr>
      <w:r>
        <w:rPr>
          <w:rFonts w:ascii="Times New Roman" w:hAnsi="Times New Roman"/>
          <w:b w:val="0"/>
          <w:i w:val="0"/>
          <w:sz w:val="24"/>
        </w:rPr>
        <w:t>Son yıllarda, makine öğrenmesi (ML) ve yapay zeka (AI) alanındaki araştırmalar kayda değer ilerlemeler kaydetmiştir. AI teknolojisi kullanılarak gerçekleştirilen sınıflandırma ve tahmin görevleri tıp, finans ve spor analitiği alanlarında derin etkiler yaratmıştır. Hipodrom yarışları ve atçılık sporu da bu alanlardan biridir. Atlı sporlarda, yarış sonuçlarını yüksek doğruluk oranlarıyla tahmin etmek, genetik kalıtım, anlık sağlık durumu, jokey deneyimi ve çevresel şartlar gibi karmaşık etkileşimlerin modellenmesini gerektirir. Bu durum klasik istatistik ve el yordamıyla hesaplanan handikap puanlamalarından çok daha karmaşık bir örüntü tanıma (pattern recognition) problemidir. Literatürde yapay zekanın veterinerlik tıbbına ve at sağlığına uygulanmasında (örneğin kolik hastalığının veya ameliyat sonrası hayatta kalma olasılığının tespiti) büyük başarılar elde edilmiş olsa da, çok boyutlu yarış verilerindeki makine öğrenmesi uygulamalarına yönelik derinlemesine analiz odaklı çalışmalar kısıtlıdır.</w:t>
      </w:r>
    </w:p>
    <w:p>
      <w:pPr>
        <w:spacing w:after="120"/>
        <w:jc w:val="both"/>
      </w:pPr>
      <w:r>
        <w:rPr>
          <w:rFonts w:ascii="Times New Roman" w:hAnsi="Times New Roman"/>
          <w:b/>
          <w:i w:val="0"/>
          <w:sz w:val="24"/>
        </w:rPr>
        <w:t>Literatür Özeti</w:t>
      </w:r>
    </w:p>
    <w:p>
      <w:pPr>
        <w:spacing w:after="120"/>
        <w:jc w:val="both"/>
      </w:pPr>
      <w:r>
        <w:rPr>
          <w:rFonts w:ascii="Times New Roman" w:hAnsi="Times New Roman"/>
          <w:b w:val="0"/>
          <w:i w:val="0"/>
          <w:sz w:val="24"/>
        </w:rPr>
        <w:t>At ve yarış tahminleriyle ilgili literatür incelendiğinde, araştırmacıların çoğunlukla regresyon tabanlı tahmin yöntemleri veya daha sınırlı veri setleriyle çalışan düşük hacimli yapay sinir ağları üzerine odaklandıkları görülmektedir. Yurt içi tıp ve veterinerlik uygulamalarında, Cihan (2024) [1], kolikli atların cerrahi gerekliliğini makine öğrenmesi ile %76 ile %85 arasında bir doğruluk oranında tahmin etmeyi başarmıştır. Bunun dışında yarış süresini ve sıralamasını tahmin etmeyi hedefleyen geleneksel istatistiksel modeller, atın salt yaşını, kilosunu veya pist türünü temel almıştır. Literatürün geneli klasik makine öğrenmesi (Destek Vektör Makineleri, K-En Yakın Komşu vb.) üzerine kurgulanmış olup; aşırı uyum (overfitting) ihtimalini düşüren gelişmiş Boosting algoritmalarının (LightGBM, XGBoost, CatBoost) yarış dinamiği analizinde ve bilhassa idman sprint performanslarının zamansal başarıya (Time-Based Cross Validation) etkisinin değerlendirilmesinde önemli bir boşluk bulunmaktadır.</w:t>
      </w:r>
    </w:p>
    <w:p>
      <w:pPr>
        <w:spacing w:after="120"/>
        <w:jc w:val="both"/>
      </w:pPr>
      <w:r>
        <w:rPr>
          <w:rFonts w:ascii="Times New Roman" w:hAnsi="Times New Roman"/>
          <w:b/>
          <w:i w:val="0"/>
          <w:sz w:val="24"/>
        </w:rPr>
        <w:t>Çalışmanın Amacı ve Kapsamı</w:t>
      </w:r>
    </w:p>
    <w:p>
      <w:pPr>
        <w:spacing w:after="120"/>
        <w:jc w:val="both"/>
      </w:pPr>
      <w:r>
        <w:rPr>
          <w:rFonts w:ascii="Times New Roman" w:hAnsi="Times New Roman"/>
          <w:b w:val="0"/>
          <w:i w:val="0"/>
          <w:sz w:val="24"/>
        </w:rPr>
        <w:t>Bu çalışma, TJK (Türkiye Jokey Kulübü) veritabanında yer alan profesyonel yerli at yarışlarında birinciyi (Is_Winner) ve tabelaya ilk 3 bağlamında girmeyi (Is_Top3) tahmin etmek üzere makine öğrenmesi temelli, sızıntısız (leakage-free) bir altyapı oluşturmayı hedeflemektedir. Bu amaç doğrultusunda 14 aylık süre zarfında kaydedilen 73.036 veri satırından (7.303 yarış, 432 yarış günü) oluşan bir set işlenmiştir. Çalışmanın temel amacı; atların idman dereceleri, geçmiş anne-baba kazanma oranları (sızıntısız hedef kodlamasıyla hesaplanmış), göreceli sıklet ve göreceli handikap puanları gibi özellik mühendisliği yöntemleriyle yapılandırılmış setler üzerinde 9 farklı makine öğrenmesi/topluluk modelinin performans karşılaştırmasını sunmaktır. Çalışma ayrıca üç ek doğrulama katmanı eklemektedir: (i) piyasa sinyalinin (Ganyan oranı) modele katkısını ayrıştırmak için ablasyon analizi, (ii) tahmin olasılıklarının gerçek frekanslarla örtüşüp örtüşmediğini ölçen kalibrasyon analizi (Brier/ECE), ve (iii) modelin piyasaya karşı bahis seçimi isabetinin şans eseri olup olmadığını test eden McNemar anlamlılık testi. Bu sayede genel bahis kitlelerinin algılarından (Ganyan Baseline) kaynaklı kör bahis risklerinin giderilmesi ve doğruluk payı yüksek, istatistiksel olarak savunulabilir karar mekanizmalarının tesis edilmesi öngörülmektedir.</w:t>
      </w:r>
    </w:p>
    <w:p>
      <w:pPr>
        <w:spacing w:after="120"/>
        <w:jc w:val="both"/>
      </w:pPr>
      <w:r>
        <w:rPr>
          <w:rFonts w:ascii="Times New Roman" w:hAnsi="Times New Roman"/>
          <w:b/>
          <w:i w:val="0"/>
          <w:sz w:val="24"/>
        </w:rPr>
        <w:t>MATERYAL VE YÖNTEM</w:t>
      </w:r>
    </w:p>
    <w:p>
      <w:pPr>
        <w:spacing w:after="120"/>
        <w:jc w:val="both"/>
      </w:pPr>
      <w:r>
        <w:rPr>
          <w:rFonts w:ascii="Times New Roman" w:hAnsi="Times New Roman"/>
          <w:b/>
          <w:i w:val="0"/>
          <w:sz w:val="24"/>
        </w:rPr>
        <w:t>Veri Seti ve Ön İşleme</w:t>
      </w:r>
    </w:p>
    <w:p>
      <w:pPr>
        <w:spacing w:after="120"/>
        <w:jc w:val="both"/>
      </w:pPr>
      <w:r>
        <w:rPr>
          <w:rFonts w:ascii="Times New Roman" w:hAnsi="Times New Roman"/>
          <w:b w:val="0"/>
          <w:i w:val="0"/>
          <w:sz w:val="24"/>
        </w:rPr>
        <w:t>Çalışmanın ham verisi, bağımsız bir şekilde geliştirilen çok aşamalı veri kazıma (Web Scraping) otomasyonları vasıtasıyla derlenmiştir. Nisan 2025 ile Haziran 2026 tarihleri arasında gerçekleşen koşu verileri taranmış, idman verisine ulaşılamayan dış yarışlar filtrelenmiştir. Sonuç itibarıyla tamamı yerli atların bulunduğu 7.303 yarışlık, yüksek sinyal-gürültü oranına sahip 73.036 veri noktalı bir ana veri setine erişilmiştir. Kategorik değişkenler (hedef sızıntısı - data leakage engellenerek) geçmiş kümülatif başarılara oranlanmış, aykırı veya NaN barındıran satırlar sistemli bir şekilde impute edilmiş (doldurulmuş) veya atılmıştır.</w:t>
      </w:r>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vAlign w:val="center"/>
          </w:tcPr>
          <w:p>
            <w:pPr>
              <w:jc w:val="center"/>
            </w:pPr>
            <w:r/>
            <w:r>
              <w:rPr>
                <w:rFonts w:ascii="Times New Roman" w:hAnsi="Times New Roman"/>
                <w:b/>
                <w:i w:val="0"/>
                <w:sz w:val="22"/>
              </w:rPr>
              <w:t>Tablo 1: TJK At Yarışı Veri Setinin Özellikleri ve Bilgileri</w:t>
            </w:r>
          </w:p>
        </w:tc>
      </w:tr>
      <w:tr>
        <w:tc>
          <w:tcPr>
            <w:tcW w:type="dxa" w:w="2268"/>
            <w:vAlign w:val="center"/>
          </w:tcPr>
          <w:p>
            <w:pPr>
              <w:jc w:val="center"/>
            </w:pPr>
            <w:r/>
            <w:r>
              <w:rPr>
                <w:rFonts w:ascii="Times New Roman" w:hAnsi="Times New Roman"/>
                <w:b/>
                <w:i w:val="0"/>
                <w:sz w:val="20"/>
              </w:rPr>
              <w:t>Özellik</w:t>
            </w:r>
          </w:p>
        </w:tc>
        <w:tc>
          <w:tcPr>
            <w:tcW w:type="dxa" w:w="2268"/>
            <w:vAlign w:val="center"/>
          </w:tcPr>
          <w:p>
            <w:pPr>
              <w:jc w:val="center"/>
            </w:pPr>
            <w:r/>
            <w:r>
              <w:rPr>
                <w:rFonts w:ascii="Times New Roman" w:hAnsi="Times New Roman"/>
                <w:b/>
                <w:i w:val="0"/>
                <w:sz w:val="20"/>
              </w:rPr>
              <w:t>Tür</w:t>
            </w:r>
          </w:p>
        </w:tc>
        <w:tc>
          <w:tcPr>
            <w:tcW w:type="dxa" w:w="2268"/>
            <w:vAlign w:val="center"/>
          </w:tcPr>
          <w:p>
            <w:pPr>
              <w:jc w:val="center"/>
            </w:pPr>
            <w:r/>
            <w:r>
              <w:rPr>
                <w:rFonts w:ascii="Times New Roman" w:hAnsi="Times New Roman"/>
                <w:b/>
                <w:i w:val="0"/>
                <w:sz w:val="20"/>
              </w:rPr>
              <w:t>Özellik Bilgisi</w:t>
            </w:r>
          </w:p>
        </w:tc>
        <w:tc>
          <w:tcPr>
            <w:tcW w:type="dxa" w:w="2268"/>
            <w:vAlign w:val="center"/>
          </w:tcPr>
          <w:p>
            <w:pPr>
              <w:jc w:val="center"/>
            </w:pPr>
            <w:r/>
            <w:r>
              <w:rPr>
                <w:rFonts w:ascii="Times New Roman" w:hAnsi="Times New Roman"/>
                <w:b/>
                <w:i w:val="0"/>
                <w:sz w:val="20"/>
              </w:rPr>
              <w:t>Yön</w:t>
            </w:r>
          </w:p>
        </w:tc>
      </w:tr>
      <w:tr>
        <w:tc>
          <w:tcPr>
            <w:tcW w:type="dxa" w:w="2268"/>
            <w:vAlign w:val="center"/>
          </w:tcPr>
          <w:p>
            <w:pPr>
              <w:jc w:val="center"/>
            </w:pPr>
            <w:r/>
            <w:r>
              <w:rPr>
                <w:rFonts w:ascii="Times New Roman" w:hAnsi="Times New Roman"/>
                <w:b w:val="0"/>
                <w:i w:val="0"/>
                <w:sz w:val="20"/>
              </w:rPr>
              <w:t>Şehir, Pist, Cinsiyet, Mesafe</w:t>
            </w:r>
          </w:p>
        </w:tc>
        <w:tc>
          <w:tcPr>
            <w:tcW w:type="dxa" w:w="2268"/>
            <w:vAlign w:val="center"/>
          </w:tcPr>
          <w:p>
            <w:pPr>
              <w:jc w:val="center"/>
            </w:pPr>
            <w:r/>
            <w:r>
              <w:rPr>
                <w:rFonts w:ascii="Times New Roman" w:hAnsi="Times New Roman"/>
                <w:b w:val="0"/>
                <w:i w:val="0"/>
                <w:sz w:val="20"/>
              </w:rPr>
              <w:t>Kategorik</w:t>
            </w:r>
          </w:p>
        </w:tc>
        <w:tc>
          <w:tcPr>
            <w:tcW w:type="dxa" w:w="2268"/>
            <w:vAlign w:val="center"/>
          </w:tcPr>
          <w:p>
            <w:pPr>
              <w:jc w:val="center"/>
            </w:pPr>
            <w:r/>
            <w:r>
              <w:rPr>
                <w:rFonts w:ascii="Times New Roman" w:hAnsi="Times New Roman"/>
                <w:b w:val="0"/>
                <w:i w:val="0"/>
                <w:sz w:val="20"/>
              </w:rPr>
              <w:t>Hedef kodlamalarla (target encoding) dönüştürülmüş yarış dinamikleri</w:t>
            </w:r>
          </w:p>
        </w:tc>
        <w:tc>
          <w:tcPr>
            <w:tcW w:type="dxa" w:w="2268"/>
            <w:vAlign w:val="center"/>
          </w:tcPr>
          <w:p>
            <w:pPr>
              <w:jc w:val="center"/>
            </w:pPr>
            <w:r/>
            <w:r>
              <w:rPr>
                <w:rFonts w:ascii="Times New Roman" w:hAnsi="Times New Roman"/>
                <w:b w:val="0"/>
                <w:i w:val="0"/>
                <w:sz w:val="20"/>
              </w:rPr>
              <w:t>Giriş</w:t>
            </w:r>
          </w:p>
        </w:tc>
      </w:tr>
      <w:tr>
        <w:tc>
          <w:tcPr>
            <w:tcW w:type="dxa" w:w="2268"/>
            <w:vAlign w:val="center"/>
          </w:tcPr>
          <w:p>
            <w:pPr>
              <w:jc w:val="center"/>
            </w:pPr>
            <w:r/>
            <w:r>
              <w:rPr>
                <w:rFonts w:ascii="Times New Roman" w:hAnsi="Times New Roman"/>
                <w:b w:val="0"/>
                <w:i w:val="0"/>
                <w:sz w:val="20"/>
              </w:rPr>
              <w:t>Handikap Puanı, Sıklet</w:t>
            </w:r>
          </w:p>
        </w:tc>
        <w:tc>
          <w:tcPr>
            <w:tcW w:type="dxa" w:w="2268"/>
            <w:vAlign w:val="center"/>
          </w:tcPr>
          <w:p>
            <w:pPr>
              <w:jc w:val="center"/>
            </w:pPr>
            <w:r/>
            <w:r>
              <w:rPr>
                <w:rFonts w:ascii="Times New Roman" w:hAnsi="Times New Roman"/>
                <w:b w:val="0"/>
                <w:i w:val="0"/>
                <w:sz w:val="20"/>
              </w:rPr>
              <w:t>Sayısal</w:t>
            </w:r>
          </w:p>
        </w:tc>
        <w:tc>
          <w:tcPr>
            <w:tcW w:type="dxa" w:w="2268"/>
            <w:vAlign w:val="center"/>
          </w:tcPr>
          <w:p>
            <w:pPr>
              <w:jc w:val="center"/>
            </w:pPr>
            <w:r/>
            <w:r>
              <w:rPr>
                <w:rFonts w:ascii="Times New Roman" w:hAnsi="Times New Roman"/>
                <w:b w:val="0"/>
                <w:i w:val="0"/>
                <w:sz w:val="20"/>
              </w:rPr>
              <w:t>Atın salt kütlesi/puanı ve rakiplerine göre görece (relative) farklılık değerleri</w:t>
            </w:r>
          </w:p>
        </w:tc>
        <w:tc>
          <w:tcPr>
            <w:tcW w:type="dxa" w:w="2268"/>
            <w:vAlign w:val="center"/>
          </w:tcPr>
          <w:p>
            <w:pPr>
              <w:jc w:val="center"/>
            </w:pPr>
            <w:r/>
            <w:r>
              <w:rPr>
                <w:rFonts w:ascii="Times New Roman" w:hAnsi="Times New Roman"/>
                <w:b w:val="0"/>
                <w:i w:val="0"/>
                <w:sz w:val="20"/>
              </w:rPr>
              <w:t>Giriş</w:t>
            </w:r>
          </w:p>
        </w:tc>
      </w:tr>
      <w:tr>
        <w:tc>
          <w:tcPr>
            <w:tcW w:type="dxa" w:w="2268"/>
            <w:vAlign w:val="center"/>
          </w:tcPr>
          <w:p>
            <w:pPr>
              <w:jc w:val="center"/>
            </w:pPr>
            <w:r/>
            <w:r>
              <w:rPr>
                <w:rFonts w:ascii="Times New Roman" w:hAnsi="Times New Roman"/>
                <w:b w:val="0"/>
                <w:i w:val="0"/>
                <w:sz w:val="20"/>
              </w:rPr>
              <w:t>Derece 400/600/800m (sn)</w:t>
            </w:r>
          </w:p>
        </w:tc>
        <w:tc>
          <w:tcPr>
            <w:tcW w:type="dxa" w:w="2268"/>
            <w:vAlign w:val="center"/>
          </w:tcPr>
          <w:p>
            <w:pPr>
              <w:jc w:val="center"/>
            </w:pPr>
            <w:r/>
            <w:r>
              <w:rPr>
                <w:rFonts w:ascii="Times New Roman" w:hAnsi="Times New Roman"/>
                <w:b w:val="0"/>
                <w:i w:val="0"/>
                <w:sz w:val="20"/>
              </w:rPr>
              <w:t>Sayısal</w:t>
            </w:r>
          </w:p>
        </w:tc>
        <w:tc>
          <w:tcPr>
            <w:tcW w:type="dxa" w:w="2268"/>
            <w:vAlign w:val="center"/>
          </w:tcPr>
          <w:p>
            <w:pPr>
              <w:jc w:val="center"/>
            </w:pPr>
            <w:r/>
            <w:r>
              <w:rPr>
                <w:rFonts w:ascii="Times New Roman" w:hAnsi="Times New Roman"/>
                <w:b w:val="0"/>
                <w:i w:val="0"/>
                <w:sz w:val="20"/>
              </w:rPr>
              <w:t>Min: 21.5 - Maks: 30.0 (idman sprint süreleri)</w:t>
            </w:r>
          </w:p>
        </w:tc>
        <w:tc>
          <w:tcPr>
            <w:tcW w:type="dxa" w:w="2268"/>
            <w:vAlign w:val="center"/>
          </w:tcPr>
          <w:p>
            <w:pPr>
              <w:jc w:val="center"/>
            </w:pPr>
            <w:r/>
            <w:r>
              <w:rPr>
                <w:rFonts w:ascii="Times New Roman" w:hAnsi="Times New Roman"/>
                <w:b w:val="0"/>
                <w:i w:val="0"/>
                <w:sz w:val="20"/>
              </w:rPr>
              <w:t>Giriş</w:t>
            </w:r>
          </w:p>
        </w:tc>
      </w:tr>
      <w:tr>
        <w:tc>
          <w:tcPr>
            <w:tcW w:type="dxa" w:w="2268"/>
            <w:vAlign w:val="center"/>
          </w:tcPr>
          <w:p>
            <w:pPr>
              <w:jc w:val="center"/>
            </w:pPr>
            <w:r/>
            <w:r>
              <w:rPr>
                <w:rFonts w:ascii="Times New Roman" w:hAnsi="Times New Roman"/>
                <w:b w:val="0"/>
                <w:i w:val="0"/>
                <w:sz w:val="20"/>
              </w:rPr>
              <w:t>Ganyan Sayı &amp; Olasılık</w:t>
            </w:r>
          </w:p>
        </w:tc>
        <w:tc>
          <w:tcPr>
            <w:tcW w:type="dxa" w:w="2268"/>
            <w:vAlign w:val="center"/>
          </w:tcPr>
          <w:p>
            <w:pPr>
              <w:jc w:val="center"/>
            </w:pPr>
            <w:r/>
            <w:r>
              <w:rPr>
                <w:rFonts w:ascii="Times New Roman" w:hAnsi="Times New Roman"/>
                <w:b w:val="0"/>
                <w:i w:val="0"/>
                <w:sz w:val="20"/>
              </w:rPr>
              <w:t>Sayısal</w:t>
            </w:r>
          </w:p>
        </w:tc>
        <w:tc>
          <w:tcPr>
            <w:tcW w:type="dxa" w:w="2268"/>
            <w:vAlign w:val="center"/>
          </w:tcPr>
          <w:p>
            <w:pPr>
              <w:jc w:val="center"/>
            </w:pPr>
            <w:r/>
            <w:r>
              <w:rPr>
                <w:rFonts w:ascii="Times New Roman" w:hAnsi="Times New Roman"/>
                <w:b w:val="0"/>
                <w:i w:val="0"/>
                <w:sz w:val="20"/>
              </w:rPr>
              <w:t>Min: 1.05 - Maks: 150.0 (Piyasa tahmini katsayısı)</w:t>
            </w:r>
          </w:p>
        </w:tc>
        <w:tc>
          <w:tcPr>
            <w:tcW w:type="dxa" w:w="2268"/>
            <w:vAlign w:val="center"/>
          </w:tcPr>
          <w:p>
            <w:pPr>
              <w:jc w:val="center"/>
            </w:pPr>
            <w:r/>
            <w:r>
              <w:rPr>
                <w:rFonts w:ascii="Times New Roman" w:hAnsi="Times New Roman"/>
                <w:b w:val="0"/>
                <w:i w:val="0"/>
                <w:sz w:val="20"/>
              </w:rPr>
              <w:t>Giriş</w:t>
            </w:r>
          </w:p>
        </w:tc>
      </w:tr>
      <w:tr>
        <w:tc>
          <w:tcPr>
            <w:tcW w:type="dxa" w:w="2268"/>
            <w:vAlign w:val="center"/>
          </w:tcPr>
          <w:p>
            <w:pPr>
              <w:jc w:val="center"/>
            </w:pPr>
            <w:r/>
            <w:r>
              <w:rPr>
                <w:rFonts w:ascii="Times New Roman" w:hAnsi="Times New Roman"/>
                <w:b w:val="0"/>
                <w:i w:val="0"/>
                <w:sz w:val="20"/>
              </w:rPr>
              <w:t>Jokey, Antrenör, Baba/Anne Başarı</w:t>
            </w:r>
          </w:p>
        </w:tc>
        <w:tc>
          <w:tcPr>
            <w:tcW w:type="dxa" w:w="2268"/>
            <w:vAlign w:val="center"/>
          </w:tcPr>
          <w:p>
            <w:pPr>
              <w:jc w:val="center"/>
            </w:pPr>
            <w:r/>
            <w:r>
              <w:rPr>
                <w:rFonts w:ascii="Times New Roman" w:hAnsi="Times New Roman"/>
                <w:b w:val="0"/>
                <w:i w:val="0"/>
                <w:sz w:val="20"/>
              </w:rPr>
              <w:t>Sayısal</w:t>
            </w:r>
          </w:p>
        </w:tc>
        <w:tc>
          <w:tcPr>
            <w:tcW w:type="dxa" w:w="2268"/>
            <w:vAlign w:val="center"/>
          </w:tcPr>
          <w:p>
            <w:pPr>
              <w:jc w:val="center"/>
            </w:pPr>
            <w:r/>
            <w:r>
              <w:rPr>
                <w:rFonts w:ascii="Times New Roman" w:hAnsi="Times New Roman"/>
                <w:b w:val="0"/>
                <w:i w:val="0"/>
                <w:sz w:val="20"/>
              </w:rPr>
              <w:t>0.0 ile 1.0 arası hedefe yönelik kümülatif kazanma/tabela oranı</w:t>
            </w:r>
          </w:p>
        </w:tc>
        <w:tc>
          <w:tcPr>
            <w:tcW w:type="dxa" w:w="2268"/>
            <w:vAlign w:val="center"/>
          </w:tcPr>
          <w:p>
            <w:pPr>
              <w:jc w:val="center"/>
            </w:pPr>
            <w:r/>
            <w:r>
              <w:rPr>
                <w:rFonts w:ascii="Times New Roman" w:hAnsi="Times New Roman"/>
                <w:b w:val="0"/>
                <w:i w:val="0"/>
                <w:sz w:val="20"/>
              </w:rPr>
              <w:t>Giriş</w:t>
            </w:r>
          </w:p>
        </w:tc>
      </w:tr>
      <w:tr>
        <w:tc>
          <w:tcPr>
            <w:tcW w:type="dxa" w:w="2268"/>
            <w:vAlign w:val="center"/>
          </w:tcPr>
          <w:p>
            <w:pPr>
              <w:jc w:val="center"/>
            </w:pPr>
            <w:r/>
            <w:r>
              <w:rPr>
                <w:rFonts w:ascii="Times New Roman" w:hAnsi="Times New Roman"/>
                <w:b w:val="0"/>
                <w:i w:val="0"/>
                <w:sz w:val="20"/>
              </w:rPr>
              <w:t>Is_Winner, Is_Top3</w:t>
            </w:r>
          </w:p>
        </w:tc>
        <w:tc>
          <w:tcPr>
            <w:tcW w:type="dxa" w:w="2268"/>
            <w:vAlign w:val="center"/>
          </w:tcPr>
          <w:p>
            <w:pPr>
              <w:jc w:val="center"/>
            </w:pPr>
            <w:r/>
            <w:r>
              <w:rPr>
                <w:rFonts w:ascii="Times New Roman" w:hAnsi="Times New Roman"/>
                <w:b w:val="0"/>
                <w:i w:val="0"/>
                <w:sz w:val="20"/>
              </w:rPr>
              <w:t>Kategorik</w:t>
            </w:r>
          </w:p>
        </w:tc>
        <w:tc>
          <w:tcPr>
            <w:tcW w:type="dxa" w:w="2268"/>
            <w:vAlign w:val="center"/>
          </w:tcPr>
          <w:p>
            <w:pPr>
              <w:jc w:val="center"/>
            </w:pPr>
            <w:r/>
            <w:r>
              <w:rPr>
                <w:rFonts w:ascii="Times New Roman" w:hAnsi="Times New Roman"/>
                <w:b w:val="0"/>
                <w:i w:val="0"/>
                <w:sz w:val="20"/>
              </w:rPr>
              <w:t>Hayır: 0 / Evet: 1 (Lojistik regresyon sınıfları)</w:t>
            </w:r>
          </w:p>
        </w:tc>
        <w:tc>
          <w:tcPr>
            <w:tcW w:type="dxa" w:w="2268"/>
            <w:vAlign w:val="center"/>
          </w:tcPr>
          <w:p>
            <w:pPr>
              <w:jc w:val="center"/>
            </w:pPr>
            <w:r/>
            <w:r>
              <w:rPr>
                <w:rFonts w:ascii="Times New Roman" w:hAnsi="Times New Roman"/>
                <w:b w:val="0"/>
                <w:i w:val="0"/>
                <w:sz w:val="20"/>
              </w:rPr>
              <w:t>Çıktı</w:t>
            </w:r>
          </w:p>
        </w:tc>
      </w:tr>
    </w:tbl>
    <w:p/>
    <w:p>
      <w:pPr>
        <w:spacing w:after="120"/>
        <w:jc w:val="both"/>
      </w:pPr>
      <w:r>
        <w:rPr>
          <w:rFonts w:ascii="Times New Roman" w:hAnsi="Times New Roman"/>
          <w:b/>
          <w:i w:val="0"/>
          <w:sz w:val="24"/>
        </w:rPr>
        <w:t>Sızıntısız Değerlendirme Metodolojisi</w:t>
      </w:r>
    </w:p>
    <w:p>
      <w:pPr>
        <w:spacing w:after="120"/>
        <w:jc w:val="both"/>
      </w:pPr>
      <w:r>
        <w:rPr>
          <w:rFonts w:ascii="Times New Roman" w:hAnsi="Times New Roman"/>
          <w:b w:val="0"/>
          <w:i w:val="0"/>
          <w:sz w:val="24"/>
        </w:rPr>
        <w:t>Modellerin değerlendirilmesinde, yarışların kronolojik sırası korunarak ileri-zincirli zaman-serisi çapraz doğrulaması (TimeSeriesSplit) kullanılmıştır; her fold yalnızca geçmiş yarışlarla eğitilip gelecekteki yarışlarla test edilmiştir. Aynı yarışa ait tüm atlar aynı fold'a atanarak yarış bütünlüğü korunmuş, eksik-değer doldurma (imputation) ve kategorik kodlama adımları her fold'da yalnızca eğitim kısmı üzerinde fit edilmiştir; bu sayede test foldlarına ait istatistiklerin eğitime sızması önlenmiştir. Stacking Ensemble modelinin meta-özellik üretiminde kullanılan iç çapraz doğrulama da aynı ilkeyle TimeSeriesSplit'e dayandırılmıştır.</w:t>
      </w:r>
    </w:p>
    <w:p>
      <w:pPr>
        <w:spacing w:after="120"/>
        <w:jc w:val="both"/>
      </w:pPr>
      <w:r>
        <w:rPr>
          <w:rFonts w:ascii="Times New Roman" w:hAnsi="Times New Roman"/>
          <w:b/>
          <w:i w:val="0"/>
          <w:sz w:val="24"/>
        </w:rPr>
        <w:t>Model Algoritmaları ve Yöntemler</w:t>
      </w:r>
    </w:p>
    <w:p>
      <w:pPr>
        <w:spacing w:after="120"/>
        <w:jc w:val="both"/>
      </w:pPr>
      <w:r>
        <w:rPr>
          <w:rFonts w:ascii="Times New Roman" w:hAnsi="Times New Roman"/>
          <w:b w:val="0"/>
          <w:i w:val="0"/>
          <w:sz w:val="24"/>
        </w:rPr>
        <w:t>Model sınıflandırma mimarisinde çeşitli ekollerden toplam 9 adet model değerlendirilmiştir. Doğrusal ve ağaç temelli (Logistic Regression, Random Forest), Gradyan Arttırılmış Ağaçlar (GBM'ler; viz., Gradient Boosting, XGBoost, LightGBM, CatBoost) ve son olarak Topluluk (Ensemble) algoritmaları (Voting Classifier, Bagging, Stacking Classifier) analiz edilmiştir. Hiperparametre optimizasyon süreci, 50 denemeli "Optuna" çatısı kullanılarak Eğri Altında Kalan Alan (AUC) skorunu maksimize etme üzerine kurgulanmıştır.</w:t>
      </w:r>
    </w:p>
    <w:p>
      <w:pPr>
        <w:spacing w:after="120"/>
        <w:jc w:val="both"/>
      </w:pPr>
      <w:r>
        <w:rPr>
          <w:rFonts w:ascii="Times New Roman" w:hAnsi="Times New Roman"/>
          <w:b w:val="0"/>
          <w:i w:val="0"/>
          <w:sz w:val="24"/>
        </w:rPr>
        <w:t>Çalışmada oluşturulan topluluk algoritmalarının veri mimarisi özel olarak tasarlanmıştır. Voting Ensemble modeli, soft-voting yöntemiyle tahmin olasılıklarını ağırlıklı olarak birleştirmektedir; bu bağlamda sistemin işlem yükünü taşıyan boosting modellerine (LightGBM, XGBoost, CatBoost) 3 (üç) katsayı ağırlığı, Random Forest algoritmasına ise 1 (bir) katsayı ağırlığı atanmıştır. Daha sofistike bir birleştirici olan Stacking Ensemble modeli ise iki katmanlı bir yapıdan oluşmaktadır. Seviye-1 (ilk katman zayıf öğreniciler) tahmincileri olarak XGBoost, LightGBM, CatBoost, Random Forest ve veri standardizasyonu sağlanmış Lojistik Regresyon modelleri çalıştırılır. İlk katmandan süzülen tahmin olasılıkları meta-özelliklere dönüştürülür ve Seviye-2 nihai karar (meta-model) katmanına sunulur. Birinci katmanın çıktılarını ezberleyerek (overfitting) oluşabilecek zaafiyetleri önlemek maksadıyla meta-model olarak oldukça sert L2 regülarizasyonuna (C=1.0) sahip karmaşıklıktan uzak, doğrusal Lojistik Regresyon kullanılmıştır.</w:t>
      </w:r>
    </w:p>
    <w:tbl>
      <w:tblPr>
        <w:tblStyle w:val="TableGrid"/>
        <w:tblW w:type="auto" w:w="0"/>
        <w:tblLook w:firstColumn="1" w:firstRow="1" w:lastColumn="0" w:lastRow="0" w:noHBand="0" w:noVBand="1" w:val="04A0"/>
      </w:tblPr>
      <w:tblGrid>
        <w:gridCol w:w="3024"/>
        <w:gridCol w:w="3024"/>
        <w:gridCol w:w="3024"/>
      </w:tblGrid>
      <w:tr>
        <w:tc>
          <w:tcPr>
            <w:tcW w:type="dxa" w:w="9072"/>
            <w:gridSpan w:val="3"/>
            <w:vAlign w:val="center"/>
          </w:tcPr>
          <w:p>
            <w:pPr>
              <w:jc w:val="center"/>
            </w:pPr>
            <w:r/>
            <w:r>
              <w:rPr>
                <w:rFonts w:ascii="Times New Roman" w:hAnsi="Times New Roman"/>
                <w:b/>
                <w:i w:val="0"/>
                <w:sz w:val="22"/>
              </w:rPr>
              <w:t>Tablo 2: Bu çalışmada kullanılan AI (Makine Öğrenmesi) modelleri</w:t>
            </w:r>
          </w:p>
        </w:tc>
      </w:tr>
      <w:tr>
        <w:tc>
          <w:tcPr>
            <w:tcW w:type="dxa" w:w="3024"/>
            <w:vAlign w:val="center"/>
          </w:tcPr>
          <w:p>
            <w:pPr>
              <w:jc w:val="center"/>
            </w:pPr>
            <w:r/>
            <w:r>
              <w:rPr>
                <w:rFonts w:ascii="Times New Roman" w:hAnsi="Times New Roman"/>
                <w:b/>
                <w:i w:val="0"/>
                <w:sz w:val="20"/>
              </w:rPr>
              <w:t>Kategoriler</w:t>
            </w:r>
          </w:p>
        </w:tc>
        <w:tc>
          <w:tcPr>
            <w:tcW w:type="dxa" w:w="3024"/>
            <w:vAlign w:val="center"/>
          </w:tcPr>
          <w:p>
            <w:pPr>
              <w:jc w:val="center"/>
            </w:pPr>
            <w:r/>
            <w:r>
              <w:rPr>
                <w:rFonts w:ascii="Times New Roman" w:hAnsi="Times New Roman"/>
                <w:b/>
                <w:i w:val="0"/>
                <w:sz w:val="20"/>
              </w:rPr>
              <w:t>Model / Kısaltma</w:t>
            </w:r>
          </w:p>
        </w:tc>
        <w:tc>
          <w:tcPr>
            <w:tcW w:type="dxa" w:w="3024"/>
            <w:vAlign w:val="center"/>
          </w:tcPr>
          <w:p>
            <w:pPr>
              <w:jc w:val="center"/>
            </w:pPr>
            <w:r/>
            <w:r>
              <w:rPr>
                <w:rFonts w:ascii="Times New Roman" w:hAnsi="Times New Roman"/>
                <w:b/>
                <w:i w:val="0"/>
                <w:sz w:val="20"/>
              </w:rPr>
              <w:t>Açıklama</w:t>
            </w:r>
          </w:p>
        </w:tc>
      </w:tr>
      <w:tr>
        <w:tc>
          <w:tcPr>
            <w:tcW w:type="dxa" w:w="3024"/>
            <w:vAlign w:val="center"/>
          </w:tcPr>
          <w:p>
            <w:pPr>
              <w:jc w:val="center"/>
            </w:pPr>
            <w:r/>
            <w:r>
              <w:rPr>
                <w:rFonts w:ascii="Times New Roman" w:hAnsi="Times New Roman"/>
                <w:b w:val="0"/>
                <w:i w:val="0"/>
                <w:sz w:val="20"/>
              </w:rPr>
              <w:t>Temel Sınıflandırıcı</w:t>
            </w:r>
          </w:p>
        </w:tc>
        <w:tc>
          <w:tcPr>
            <w:tcW w:type="dxa" w:w="3024"/>
            <w:vAlign w:val="center"/>
          </w:tcPr>
          <w:p>
            <w:pPr>
              <w:jc w:val="center"/>
            </w:pPr>
            <w:r/>
            <w:r>
              <w:rPr>
                <w:rFonts w:ascii="Times New Roman" w:hAnsi="Times New Roman"/>
                <w:b w:val="0"/>
                <w:i w:val="0"/>
                <w:sz w:val="20"/>
              </w:rPr>
              <w:t>Lojistik Regresyon (LR)</w:t>
            </w:r>
          </w:p>
        </w:tc>
        <w:tc>
          <w:tcPr>
            <w:tcW w:type="dxa" w:w="3024"/>
            <w:vAlign w:val="center"/>
          </w:tcPr>
          <w:p>
            <w:pPr>
              <w:jc w:val="center"/>
            </w:pPr>
            <w:r/>
            <w:r>
              <w:rPr>
                <w:rFonts w:ascii="Times New Roman" w:hAnsi="Times New Roman"/>
                <w:b w:val="0"/>
                <w:i w:val="0"/>
                <w:sz w:val="20"/>
              </w:rPr>
              <w:t>Verileri uygun bir mantıksal sigmoid eğrisine uyduran temel modeldir.</w:t>
            </w:r>
          </w:p>
        </w:tc>
      </w:tr>
      <w:tr>
        <w:tc>
          <w:tcPr>
            <w:tcW w:type="dxa" w:w="3024"/>
            <w:vAlign w:val="center"/>
          </w:tcPr>
          <w:p>
            <w:pPr>
              <w:jc w:val="center"/>
            </w:pPr>
            <w:r/>
            <w:r>
              <w:rPr>
                <w:rFonts w:ascii="Times New Roman" w:hAnsi="Times New Roman"/>
                <w:b w:val="0"/>
                <w:i w:val="0"/>
                <w:sz w:val="20"/>
              </w:rPr>
              <w:t>Bagging (Torbalama)</w:t>
            </w:r>
          </w:p>
        </w:tc>
        <w:tc>
          <w:tcPr>
            <w:tcW w:type="dxa" w:w="3024"/>
            <w:vAlign w:val="center"/>
          </w:tcPr>
          <w:p>
            <w:pPr>
              <w:jc w:val="center"/>
            </w:pPr>
            <w:r/>
            <w:r>
              <w:rPr>
                <w:rFonts w:ascii="Times New Roman" w:hAnsi="Times New Roman"/>
                <w:b w:val="0"/>
                <w:i w:val="0"/>
                <w:sz w:val="20"/>
              </w:rPr>
              <w:t>Rastgele Orman (RF)</w:t>
            </w:r>
          </w:p>
        </w:tc>
        <w:tc>
          <w:tcPr>
            <w:tcW w:type="dxa" w:w="3024"/>
            <w:vAlign w:val="center"/>
          </w:tcPr>
          <w:p>
            <w:pPr>
              <w:jc w:val="center"/>
            </w:pPr>
            <w:r/>
            <w:r>
              <w:rPr>
                <w:rFonts w:ascii="Times New Roman" w:hAnsi="Times New Roman"/>
                <w:b w:val="0"/>
                <w:i w:val="0"/>
                <w:sz w:val="20"/>
              </w:rPr>
              <w:t>Varyansı ve overfitting riskini düşürmek için birden fazla paralel karar ağacını birleştirir.</w:t>
            </w:r>
          </w:p>
        </w:tc>
      </w:tr>
      <w:tr>
        <w:tc>
          <w:tcPr>
            <w:tcW w:type="dxa" w:w="3024"/>
            <w:vAlign w:val="center"/>
          </w:tcPr>
          <w:p>
            <w:pPr>
              <w:jc w:val="center"/>
            </w:pPr>
            <w:r/>
            <w:r>
              <w:rPr>
                <w:rFonts w:ascii="Times New Roman" w:hAnsi="Times New Roman"/>
                <w:b w:val="0"/>
                <w:i w:val="0"/>
                <w:sz w:val="20"/>
              </w:rPr>
              <w:t>Bagging (Torbalama)</w:t>
            </w:r>
          </w:p>
        </w:tc>
        <w:tc>
          <w:tcPr>
            <w:tcW w:type="dxa" w:w="3024"/>
            <w:vAlign w:val="center"/>
          </w:tcPr>
          <w:p>
            <w:pPr>
              <w:jc w:val="center"/>
            </w:pPr>
            <w:r/>
            <w:r>
              <w:rPr>
                <w:rFonts w:ascii="Times New Roman" w:hAnsi="Times New Roman"/>
                <w:b w:val="0"/>
                <w:i w:val="0"/>
                <w:sz w:val="20"/>
              </w:rPr>
              <w:t>Bagging LGBM</w:t>
            </w:r>
          </w:p>
        </w:tc>
        <w:tc>
          <w:tcPr>
            <w:tcW w:type="dxa" w:w="3024"/>
            <w:vAlign w:val="center"/>
          </w:tcPr>
          <w:p>
            <w:pPr>
              <w:jc w:val="center"/>
            </w:pPr>
            <w:r/>
            <w:r>
              <w:rPr>
                <w:rFonts w:ascii="Times New Roman" w:hAnsi="Times New Roman"/>
                <w:b w:val="0"/>
                <w:i w:val="0"/>
                <w:sz w:val="20"/>
              </w:rPr>
              <w:t>Sınıflandırıcı olarak ayrı LGBM modellerini farklı veri alt kümelerinde eğitir.</w:t>
            </w:r>
          </w:p>
        </w:tc>
      </w:tr>
      <w:tr>
        <w:tc>
          <w:tcPr>
            <w:tcW w:type="dxa" w:w="3024"/>
            <w:vAlign w:val="center"/>
          </w:tcPr>
          <w:p>
            <w:pPr>
              <w:jc w:val="center"/>
            </w:pPr>
            <w:r/>
            <w:r>
              <w:rPr>
                <w:rFonts w:ascii="Times New Roman" w:hAnsi="Times New Roman"/>
                <w:b w:val="0"/>
                <w:i w:val="0"/>
                <w:sz w:val="20"/>
              </w:rPr>
              <w:t>Boosting (Arttırma)</w:t>
            </w:r>
          </w:p>
        </w:tc>
        <w:tc>
          <w:tcPr>
            <w:tcW w:type="dxa" w:w="3024"/>
            <w:vAlign w:val="center"/>
          </w:tcPr>
          <w:p>
            <w:pPr>
              <w:jc w:val="center"/>
            </w:pPr>
            <w:r/>
            <w:r>
              <w:rPr>
                <w:rFonts w:ascii="Times New Roman" w:hAnsi="Times New Roman"/>
                <w:b w:val="0"/>
                <w:i w:val="0"/>
                <w:sz w:val="20"/>
              </w:rPr>
              <w:t>Gradient Boosting (GBM)</w:t>
            </w:r>
          </w:p>
        </w:tc>
        <w:tc>
          <w:tcPr>
            <w:tcW w:type="dxa" w:w="3024"/>
            <w:vAlign w:val="center"/>
          </w:tcPr>
          <w:p>
            <w:pPr>
              <w:jc w:val="center"/>
            </w:pPr>
            <w:r/>
            <w:r>
              <w:rPr>
                <w:rFonts w:ascii="Times New Roman" w:hAnsi="Times New Roman"/>
                <w:b w:val="0"/>
                <w:i w:val="0"/>
                <w:sz w:val="20"/>
              </w:rPr>
              <w:t>Ağaçların hatalarından ders alarak ardışık şekilde birbirini geliştirdiği temel boosting modelidir.</w:t>
            </w:r>
          </w:p>
        </w:tc>
      </w:tr>
      <w:tr>
        <w:tc>
          <w:tcPr>
            <w:tcW w:type="dxa" w:w="3024"/>
            <w:vAlign w:val="center"/>
          </w:tcPr>
          <w:p>
            <w:pPr>
              <w:jc w:val="center"/>
            </w:pPr>
            <w:r/>
            <w:r>
              <w:rPr>
                <w:rFonts w:ascii="Times New Roman" w:hAnsi="Times New Roman"/>
                <w:b w:val="0"/>
                <w:i w:val="0"/>
                <w:sz w:val="20"/>
              </w:rPr>
              <w:t>Boosting (Arttırma)</w:t>
            </w:r>
          </w:p>
        </w:tc>
        <w:tc>
          <w:tcPr>
            <w:tcW w:type="dxa" w:w="3024"/>
            <w:vAlign w:val="center"/>
          </w:tcPr>
          <w:p>
            <w:pPr>
              <w:jc w:val="center"/>
            </w:pPr>
            <w:r/>
            <w:r>
              <w:rPr>
                <w:rFonts w:ascii="Times New Roman" w:hAnsi="Times New Roman"/>
                <w:b w:val="0"/>
                <w:i w:val="0"/>
                <w:sz w:val="20"/>
              </w:rPr>
              <w:t>XGBoost (XGB)</w:t>
            </w:r>
          </w:p>
        </w:tc>
        <w:tc>
          <w:tcPr>
            <w:tcW w:type="dxa" w:w="3024"/>
            <w:vAlign w:val="center"/>
          </w:tcPr>
          <w:p>
            <w:pPr>
              <w:jc w:val="center"/>
            </w:pPr>
            <w:r/>
            <w:r>
              <w:rPr>
                <w:rFonts w:ascii="Times New Roman" w:hAnsi="Times New Roman"/>
                <w:b w:val="0"/>
                <w:i w:val="0"/>
                <w:sz w:val="20"/>
              </w:rPr>
              <w:t>Modellerin ardışık olarak güçlendiği, L1/L2 regülarizasyonlu optimize mimaridir.</w:t>
            </w:r>
          </w:p>
        </w:tc>
      </w:tr>
      <w:tr>
        <w:tc>
          <w:tcPr>
            <w:tcW w:type="dxa" w:w="3024"/>
            <w:vAlign w:val="center"/>
          </w:tcPr>
          <w:p>
            <w:pPr>
              <w:jc w:val="center"/>
            </w:pPr>
            <w:r/>
            <w:r>
              <w:rPr>
                <w:rFonts w:ascii="Times New Roman" w:hAnsi="Times New Roman"/>
                <w:b w:val="0"/>
                <w:i w:val="0"/>
                <w:sz w:val="20"/>
              </w:rPr>
              <w:t>Boosting (Arttırma)</w:t>
            </w:r>
          </w:p>
        </w:tc>
        <w:tc>
          <w:tcPr>
            <w:tcW w:type="dxa" w:w="3024"/>
            <w:vAlign w:val="center"/>
          </w:tcPr>
          <w:p>
            <w:pPr>
              <w:jc w:val="center"/>
            </w:pPr>
            <w:r/>
            <w:r>
              <w:rPr>
                <w:rFonts w:ascii="Times New Roman" w:hAnsi="Times New Roman"/>
                <w:b w:val="0"/>
                <w:i w:val="0"/>
                <w:sz w:val="20"/>
              </w:rPr>
              <w:t>LightGBM (LGB)</w:t>
            </w:r>
          </w:p>
        </w:tc>
        <w:tc>
          <w:tcPr>
            <w:tcW w:type="dxa" w:w="3024"/>
            <w:vAlign w:val="center"/>
          </w:tcPr>
          <w:p>
            <w:pPr>
              <w:jc w:val="center"/>
            </w:pPr>
            <w:r/>
            <w:r>
              <w:rPr>
                <w:rFonts w:ascii="Times New Roman" w:hAnsi="Times New Roman"/>
                <w:b w:val="0"/>
                <w:i w:val="0"/>
                <w:sz w:val="20"/>
              </w:rPr>
              <w:t>Ağaçların derinlikten çok yaprak bazlı (leaf-wise) büyümesini esas alan çok hızlı yaklaşımdır.</w:t>
            </w:r>
          </w:p>
        </w:tc>
      </w:tr>
      <w:tr>
        <w:tc>
          <w:tcPr>
            <w:tcW w:type="dxa" w:w="3024"/>
            <w:vAlign w:val="center"/>
          </w:tcPr>
          <w:p>
            <w:pPr>
              <w:jc w:val="center"/>
            </w:pPr>
            <w:r/>
            <w:r>
              <w:rPr>
                <w:rFonts w:ascii="Times New Roman" w:hAnsi="Times New Roman"/>
                <w:b w:val="0"/>
                <w:i w:val="0"/>
                <w:sz w:val="20"/>
              </w:rPr>
              <w:t>Boosting (Arttırma)</w:t>
            </w:r>
          </w:p>
        </w:tc>
        <w:tc>
          <w:tcPr>
            <w:tcW w:type="dxa" w:w="3024"/>
            <w:vAlign w:val="center"/>
          </w:tcPr>
          <w:p>
            <w:pPr>
              <w:jc w:val="center"/>
            </w:pPr>
            <w:r/>
            <w:r>
              <w:rPr>
                <w:rFonts w:ascii="Times New Roman" w:hAnsi="Times New Roman"/>
                <w:b w:val="0"/>
                <w:i w:val="0"/>
                <w:sz w:val="20"/>
              </w:rPr>
              <w:t>CatBoost (CAT)</w:t>
            </w:r>
          </w:p>
        </w:tc>
        <w:tc>
          <w:tcPr>
            <w:tcW w:type="dxa" w:w="3024"/>
            <w:vAlign w:val="center"/>
          </w:tcPr>
          <w:p>
            <w:pPr>
              <w:jc w:val="center"/>
            </w:pPr>
            <w:r/>
            <w:r>
              <w:rPr>
                <w:rFonts w:ascii="Times New Roman" w:hAnsi="Times New Roman"/>
                <w:b w:val="0"/>
                <w:i w:val="0"/>
                <w:sz w:val="20"/>
              </w:rPr>
              <w:t>Özellikle kategorik özellikler için özel hedef kodlama mekanizmaları barındıran boosting modelidir.</w:t>
            </w:r>
          </w:p>
        </w:tc>
      </w:tr>
      <w:tr>
        <w:tc>
          <w:tcPr>
            <w:tcW w:type="dxa" w:w="3024"/>
            <w:vAlign w:val="center"/>
          </w:tcPr>
          <w:p>
            <w:pPr>
              <w:jc w:val="center"/>
            </w:pPr>
            <w:r/>
            <w:r>
              <w:rPr>
                <w:rFonts w:ascii="Times New Roman" w:hAnsi="Times New Roman"/>
                <w:b w:val="0"/>
                <w:i w:val="0"/>
                <w:sz w:val="20"/>
              </w:rPr>
              <w:t>Voting (Oylama)</w:t>
            </w:r>
          </w:p>
        </w:tc>
        <w:tc>
          <w:tcPr>
            <w:tcW w:type="dxa" w:w="3024"/>
            <w:vAlign w:val="center"/>
          </w:tcPr>
          <w:p>
            <w:pPr>
              <w:jc w:val="center"/>
            </w:pPr>
            <w:r/>
            <w:r>
              <w:rPr>
                <w:rFonts w:ascii="Times New Roman" w:hAnsi="Times New Roman"/>
                <w:b w:val="0"/>
                <w:i w:val="0"/>
                <w:sz w:val="20"/>
              </w:rPr>
              <w:t>Voting Ensemble</w:t>
            </w:r>
          </w:p>
        </w:tc>
        <w:tc>
          <w:tcPr>
            <w:tcW w:type="dxa" w:w="3024"/>
            <w:vAlign w:val="center"/>
          </w:tcPr>
          <w:p>
            <w:pPr>
              <w:jc w:val="center"/>
            </w:pPr>
            <w:r/>
            <w:r>
              <w:rPr>
                <w:rFonts w:ascii="Times New Roman" w:hAnsi="Times New Roman"/>
                <w:b w:val="0"/>
                <w:i w:val="0"/>
                <w:sz w:val="20"/>
              </w:rPr>
              <w:t>Bağımsız algoritmaların tahmin olasılıklarını (soft-voting) ortak bir kararda harmanlar.</w:t>
            </w:r>
          </w:p>
        </w:tc>
      </w:tr>
      <w:tr>
        <w:tc>
          <w:tcPr>
            <w:tcW w:type="dxa" w:w="3024"/>
            <w:vAlign w:val="center"/>
          </w:tcPr>
          <w:p>
            <w:pPr>
              <w:jc w:val="center"/>
            </w:pPr>
            <w:r/>
            <w:r>
              <w:rPr>
                <w:rFonts w:ascii="Times New Roman" w:hAnsi="Times New Roman"/>
                <w:b w:val="0"/>
                <w:i w:val="0"/>
                <w:sz w:val="20"/>
              </w:rPr>
              <w:t>Stacking (Yığınlama)</w:t>
            </w:r>
          </w:p>
        </w:tc>
        <w:tc>
          <w:tcPr>
            <w:tcW w:type="dxa" w:w="3024"/>
            <w:vAlign w:val="center"/>
          </w:tcPr>
          <w:p>
            <w:pPr>
              <w:jc w:val="center"/>
            </w:pPr>
            <w:r/>
            <w:r>
              <w:rPr>
                <w:rFonts w:ascii="Times New Roman" w:hAnsi="Times New Roman"/>
                <w:b w:val="0"/>
                <w:i w:val="0"/>
                <w:sz w:val="20"/>
              </w:rPr>
              <w:t>Stacking Ensemble</w:t>
            </w:r>
          </w:p>
        </w:tc>
        <w:tc>
          <w:tcPr>
            <w:tcW w:type="dxa" w:w="3024"/>
            <w:vAlign w:val="center"/>
          </w:tcPr>
          <w:p>
            <w:pPr>
              <w:jc w:val="center"/>
            </w:pPr>
            <w:r/>
            <w:r>
              <w:rPr>
                <w:rFonts w:ascii="Times New Roman" w:hAnsi="Times New Roman"/>
                <w:b w:val="0"/>
                <w:i w:val="0"/>
                <w:sz w:val="20"/>
              </w:rPr>
              <w:t>Diğer zayıf öğrenicilerin tahmin olasılıklarını meta-özellik olarak alıp Lojistik meta-modeline sunan birleştiricidir.</w:t>
            </w:r>
          </w:p>
        </w:tc>
      </w:tr>
    </w:tbl>
    <w:p/>
    <w:p>
      <w:pPr>
        <w:spacing w:after="120"/>
        <w:jc w:val="both"/>
      </w:pPr>
      <w:r>
        <w:rPr>
          <w:rFonts w:ascii="Times New Roman" w:hAnsi="Times New Roman"/>
          <w:b/>
          <w:i w:val="0"/>
          <w:sz w:val="24"/>
        </w:rPr>
        <w:t>Piyasa Sinyali Ablasyon Tasarımı</w:t>
      </w:r>
    </w:p>
    <w:p>
      <w:pPr>
        <w:spacing w:after="120"/>
        <w:jc w:val="both"/>
      </w:pPr>
      <w:r>
        <w:rPr>
          <w:rFonts w:ascii="Times New Roman" w:hAnsi="Times New Roman"/>
          <w:b w:val="0"/>
          <w:i w:val="0"/>
          <w:sz w:val="24"/>
        </w:rPr>
        <w:t>Modelin başarısının piyasa oranına (Ganyan_Sayi) ne derece bağımlı olduğunu sınamak için, aynı pipeline bu değişken ve türevleri çıkarılarak yeniden çalıştırılmış; tam model ile piyasa-sinyalsiz (ablasyon) model AUC ve Precision@1 düzeyinde karşılaştırılmıştır. ΔAUC'nin küçük çıkması, modelin gücünün büyük ölçüde piyasa fiyatlamasını taklit etmekten değil, projeye özgü özellik mühendisliğinden (handikap, jokey/antrenör, soy hattı, idman) kaynaklandığına işaret eder.</w:t>
      </w:r>
    </w:p>
    <w:p>
      <w:pPr>
        <w:spacing w:after="120"/>
        <w:jc w:val="both"/>
      </w:pPr>
      <w:r>
        <w:rPr>
          <w:rFonts w:ascii="Times New Roman" w:hAnsi="Times New Roman"/>
          <w:b/>
          <w:i w:val="0"/>
          <w:sz w:val="24"/>
        </w:rPr>
        <w:t>Olasılık Kalibrasyon Değerlendirmesi</w:t>
      </w:r>
    </w:p>
    <w:p>
      <w:pPr>
        <w:spacing w:after="120"/>
        <w:jc w:val="both"/>
      </w:pPr>
      <w:r>
        <w:rPr>
          <w:rFonts w:ascii="Times New Roman" w:hAnsi="Times New Roman"/>
          <w:b w:val="0"/>
          <w:i w:val="0"/>
          <w:sz w:val="24"/>
        </w:rPr>
        <w:t>Modelin ürettiği olasılıkların gerçek isabet frekanslarıyla örtüşüp örtüşmediği, sızıntısız OOF (out-of-fold) tahminleri üzerinden Brier skoru ve Beklenen Kalibrasyon Hatası (Expected Calibration Error, ECE; 10 eşit-genişlikte bin) ile ölçülmüş, güvenilirlik diyagramlarıyla (reliability diagram) görselleştirilmiştir.</w:t>
      </w:r>
    </w:p>
    <w:p>
      <w:pPr>
        <w:spacing w:after="120"/>
        <w:jc w:val="both"/>
      </w:pPr>
      <w:r>
        <w:rPr>
          <w:rFonts w:ascii="Times New Roman" w:hAnsi="Times New Roman"/>
          <w:b/>
          <w:i w:val="0"/>
          <w:sz w:val="24"/>
        </w:rPr>
        <w:t>Bahis Stratejisi ve Anlamlılık Testi Yöntemi</w:t>
      </w:r>
    </w:p>
    <w:p>
      <w:pPr>
        <w:spacing w:after="120"/>
        <w:jc w:val="both"/>
      </w:pPr>
      <w:r>
        <w:rPr>
          <w:rFonts w:ascii="Times New Roman" w:hAnsi="Times New Roman"/>
          <w:b w:val="0"/>
          <w:i w:val="0"/>
          <w:sz w:val="24"/>
        </w:rPr>
        <w:t>Tekil at kazanma olasılıklarından egzotik bahis türlerinin (İkili, Sıralı İkili, Üçlü, Tabela) kombinasyon olasılıkları Harville/Plackett-Luce modeliyle türetilmiş [9]; Harville formülünün favori atları sistematik olarak şişirme eğilimi λ=0.85 düzeltme katsayısıyla dengelenmiştir. Piyasaya kıyasla pozitif beklenen değer (EV) taşıyan bahisler, takas (takeout) sonrası +%5 EV eşiğini aşanlar olarak (Benter yaklaşımı [10]) filtrelenmiş; kasa yönetimi flat (%1 sabit pay) ve kesirli Kelly (¼-Kelly, %5 üst sınır) stratejileriyle paralel simüle edilmiştir. Modelin doğal seçiminin (olasılığa göre ilk-k) piyasanın doğal seçiminden (favori sırası) istatistiksel olarak anlamlı şekilde farklı olup olmadığı, eşleştirilmiş ikili sonuçlar için McNemar exact testi [11] ile sınanmıştır.</w:t>
      </w:r>
    </w:p>
    <w:p>
      <w:pPr>
        <w:spacing w:after="120"/>
        <w:jc w:val="both"/>
      </w:pPr>
      <w:r>
        <w:rPr>
          <w:rFonts w:ascii="Times New Roman" w:hAnsi="Times New Roman"/>
          <w:b/>
          <w:i w:val="0"/>
          <w:sz w:val="24"/>
        </w:rPr>
        <w:t>BULGULAR</w:t>
      </w:r>
    </w:p>
    <w:p>
      <w:pPr>
        <w:spacing w:after="120"/>
        <w:jc w:val="both"/>
      </w:pPr>
      <w:r>
        <w:rPr>
          <w:rFonts w:ascii="Times New Roman" w:hAnsi="Times New Roman"/>
          <w:b w:val="0"/>
          <w:i w:val="0"/>
          <w:sz w:val="24"/>
        </w:rPr>
        <w:t>Eğitilen modellerin performansı "Birinci Tahmini (Is_Winner)" ve "Tabela Tahmini (Is_Top3)" olmak üzere iki ayrı görevde ölçümlenmiştir. Başarıları daha salt ve ispatlanabilir kılmak adına, her yarışta sadece ganyan favorisi olan ata oynanması durumu referans noktası (Ganyan Baseline) alınmıştır.</w:t>
      </w:r>
    </w:p>
    <w:p>
      <w:pPr>
        <w:spacing w:after="120"/>
        <w:jc w:val="both"/>
      </w:pPr>
      <w:r>
        <w:rPr>
          <w:rFonts w:ascii="Times New Roman" w:hAnsi="Times New Roman"/>
          <w:b/>
          <w:i w:val="0"/>
          <w:sz w:val="24"/>
        </w:rPr>
        <w:t>Birinci Tahminin Sonuçları (Is_Winner)</w:t>
      </w:r>
    </w:p>
    <w:p>
      <w:pPr>
        <w:spacing w:after="120"/>
        <w:jc w:val="both"/>
      </w:pPr>
      <w:r>
        <w:rPr>
          <w:rFonts w:ascii="Times New Roman" w:hAnsi="Times New Roman"/>
          <w:b w:val="0"/>
          <w:i w:val="0"/>
          <w:sz w:val="24"/>
        </w:rPr>
        <w:t>Baseline (referans) stratejisinde, piyasadaki genel kanının tespit ettiği en popüler atın yarışı kazanma ihtimali (P@1 - Doğruluk) %35.3, bahis bazında karşılığı ise -%27.1 (yatırım zararı) olarak ölçülmüştür. Sızıntısız TimeSeriesSplit değerlendirmesiyle elde edilen makine öğrenmesi sonuçları bu referansın belirgin biçimde üzerindedir (Tablo 3). En yüksek ayırt edicilik (AUC) skoruna CatBoost (0.8452) ulaşmış; nihai getiri ve sıra-1 isabet dengesinde ise StackingEnsemble (P@1=%40.6, Değer Bahsi ROI=+%94.3) üretim (production) modeli olarak belirlenmiştir.</w:t>
      </w:r>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vAlign w:val="center"/>
          </w:tcPr>
          <w:p>
            <w:pPr>
              <w:jc w:val="center"/>
            </w:pPr>
            <w:r/>
            <w:r>
              <w:rPr>
                <w:rFonts w:ascii="Times New Roman" w:hAnsi="Times New Roman"/>
                <w:b/>
                <w:i w:val="0"/>
                <w:sz w:val="22"/>
              </w:rPr>
              <w:t>Tablo 3: Kazanan Tahmini İçin Model Performansları (Is_Winner)</w:t>
            </w:r>
          </w:p>
        </w:tc>
      </w:tr>
      <w:tr>
        <w:tc>
          <w:tcPr>
            <w:tcW w:type="dxa" w:w="2268"/>
            <w:vAlign w:val="center"/>
          </w:tcPr>
          <w:p>
            <w:pPr>
              <w:jc w:val="center"/>
            </w:pPr>
            <w:r/>
            <w:r>
              <w:rPr>
                <w:rFonts w:ascii="Times New Roman" w:hAnsi="Times New Roman"/>
                <w:b/>
                <w:i w:val="0"/>
                <w:sz w:val="20"/>
              </w:rPr>
              <w:t>Model Algoritması</w:t>
            </w:r>
          </w:p>
        </w:tc>
        <w:tc>
          <w:tcPr>
            <w:tcW w:type="dxa" w:w="2268"/>
            <w:vAlign w:val="center"/>
          </w:tcPr>
          <w:p>
            <w:pPr>
              <w:jc w:val="center"/>
            </w:pPr>
            <w:r/>
            <w:r>
              <w:rPr>
                <w:rFonts w:ascii="Times New Roman" w:hAnsi="Times New Roman"/>
                <w:b/>
                <w:i w:val="0"/>
                <w:sz w:val="20"/>
              </w:rPr>
              <w:t>Eğri Altı Alan (AUC)</w:t>
            </w:r>
          </w:p>
        </w:tc>
        <w:tc>
          <w:tcPr>
            <w:tcW w:type="dxa" w:w="2268"/>
            <w:vAlign w:val="center"/>
          </w:tcPr>
          <w:p>
            <w:pPr>
              <w:jc w:val="center"/>
            </w:pPr>
            <w:r/>
            <w:r>
              <w:rPr>
                <w:rFonts w:ascii="Times New Roman" w:hAnsi="Times New Roman"/>
                <w:b/>
                <w:i w:val="0"/>
                <w:sz w:val="20"/>
              </w:rPr>
              <w:t>Sıra-1 İsabet Doğruluğu (P@1)</w:t>
            </w:r>
          </w:p>
        </w:tc>
        <w:tc>
          <w:tcPr>
            <w:tcW w:type="dxa" w:w="2268"/>
            <w:vAlign w:val="center"/>
          </w:tcPr>
          <w:p>
            <w:pPr>
              <w:jc w:val="center"/>
            </w:pPr>
            <w:r/>
            <w:r>
              <w:rPr>
                <w:rFonts w:ascii="Times New Roman" w:hAnsi="Times New Roman"/>
                <w:b/>
                <w:i w:val="0"/>
                <w:sz w:val="20"/>
              </w:rPr>
              <w:t>Değer Bahsi Stratejik Getirisi (ROI)</w:t>
            </w:r>
          </w:p>
        </w:tc>
      </w:tr>
      <w:tr>
        <w:tc>
          <w:tcPr>
            <w:tcW w:type="dxa" w:w="2268"/>
            <w:vAlign w:val="center"/>
          </w:tcPr>
          <w:p>
            <w:pPr>
              <w:jc w:val="center"/>
            </w:pPr>
            <w:r/>
            <w:r>
              <w:rPr>
                <w:rFonts w:ascii="Times New Roman" w:hAnsi="Times New Roman"/>
                <w:b w:val="0"/>
                <w:i w:val="0"/>
                <w:sz w:val="20"/>
              </w:rPr>
              <w:t>CatBoost</w:t>
            </w:r>
          </w:p>
        </w:tc>
        <w:tc>
          <w:tcPr>
            <w:tcW w:type="dxa" w:w="2268"/>
            <w:vAlign w:val="center"/>
          </w:tcPr>
          <w:p>
            <w:pPr>
              <w:jc w:val="center"/>
            </w:pPr>
            <w:r/>
            <w:r>
              <w:rPr>
                <w:rFonts w:ascii="Times New Roman" w:hAnsi="Times New Roman"/>
                <w:b w:val="0"/>
                <w:i w:val="0"/>
                <w:sz w:val="20"/>
              </w:rPr>
              <w:t>0.8452</w:t>
            </w:r>
          </w:p>
        </w:tc>
        <w:tc>
          <w:tcPr>
            <w:tcW w:type="dxa" w:w="2268"/>
            <w:vAlign w:val="center"/>
          </w:tcPr>
          <w:p>
            <w:pPr>
              <w:jc w:val="center"/>
            </w:pPr>
            <w:r/>
            <w:r>
              <w:rPr>
                <w:rFonts w:ascii="Times New Roman" w:hAnsi="Times New Roman"/>
                <w:b w:val="0"/>
                <w:i w:val="0"/>
                <w:sz w:val="20"/>
              </w:rPr>
              <w:t>%41.8</w:t>
            </w:r>
          </w:p>
        </w:tc>
        <w:tc>
          <w:tcPr>
            <w:tcW w:type="dxa" w:w="2268"/>
            <w:vAlign w:val="center"/>
          </w:tcPr>
          <w:p>
            <w:pPr>
              <w:jc w:val="center"/>
            </w:pPr>
            <w:r/>
            <w:r>
              <w:rPr>
                <w:rFonts w:ascii="Times New Roman" w:hAnsi="Times New Roman"/>
                <w:b w:val="0"/>
                <w:i w:val="0"/>
                <w:sz w:val="20"/>
              </w:rPr>
              <w:t>+%19.3</w:t>
            </w:r>
          </w:p>
        </w:tc>
      </w:tr>
      <w:tr>
        <w:tc>
          <w:tcPr>
            <w:tcW w:type="dxa" w:w="2268"/>
            <w:vAlign w:val="center"/>
          </w:tcPr>
          <w:p>
            <w:pPr>
              <w:jc w:val="center"/>
            </w:pPr>
            <w:r/>
            <w:r>
              <w:rPr>
                <w:rFonts w:ascii="Times New Roman" w:hAnsi="Times New Roman"/>
                <w:b w:val="0"/>
                <w:i w:val="0"/>
                <w:sz w:val="20"/>
              </w:rPr>
              <w:t>VotingEnsemble</w:t>
            </w:r>
          </w:p>
        </w:tc>
        <w:tc>
          <w:tcPr>
            <w:tcW w:type="dxa" w:w="2268"/>
            <w:vAlign w:val="center"/>
          </w:tcPr>
          <w:p>
            <w:pPr>
              <w:jc w:val="center"/>
            </w:pPr>
            <w:r/>
            <w:r>
              <w:rPr>
                <w:rFonts w:ascii="Times New Roman" w:hAnsi="Times New Roman"/>
                <w:b w:val="0"/>
                <w:i w:val="0"/>
                <w:sz w:val="20"/>
              </w:rPr>
              <w:t>0.8417</w:t>
            </w:r>
          </w:p>
        </w:tc>
        <w:tc>
          <w:tcPr>
            <w:tcW w:type="dxa" w:w="2268"/>
            <w:vAlign w:val="center"/>
          </w:tcPr>
          <w:p>
            <w:pPr>
              <w:jc w:val="center"/>
            </w:pPr>
            <w:r/>
            <w:r>
              <w:rPr>
                <w:rFonts w:ascii="Times New Roman" w:hAnsi="Times New Roman"/>
                <w:b w:val="0"/>
                <w:i w:val="0"/>
                <w:sz w:val="20"/>
              </w:rPr>
              <w:t>%41.2</w:t>
            </w:r>
          </w:p>
        </w:tc>
        <w:tc>
          <w:tcPr>
            <w:tcW w:type="dxa" w:w="2268"/>
            <w:vAlign w:val="center"/>
          </w:tcPr>
          <w:p>
            <w:pPr>
              <w:jc w:val="center"/>
            </w:pPr>
            <w:r/>
            <w:r>
              <w:rPr>
                <w:rFonts w:ascii="Times New Roman" w:hAnsi="Times New Roman"/>
                <w:b w:val="0"/>
                <w:i w:val="0"/>
                <w:sz w:val="20"/>
              </w:rPr>
              <w:t>+%17.0</w:t>
            </w:r>
          </w:p>
        </w:tc>
      </w:tr>
      <w:tr>
        <w:tc>
          <w:tcPr>
            <w:tcW w:type="dxa" w:w="2268"/>
            <w:vAlign w:val="center"/>
          </w:tcPr>
          <w:p>
            <w:pPr>
              <w:jc w:val="center"/>
            </w:pPr>
            <w:r/>
            <w:r>
              <w:rPr>
                <w:rFonts w:ascii="Times New Roman" w:hAnsi="Times New Roman"/>
                <w:b w:val="0"/>
                <w:i w:val="0"/>
                <w:sz w:val="20"/>
              </w:rPr>
              <w:t>LightGBM</w:t>
            </w:r>
          </w:p>
        </w:tc>
        <w:tc>
          <w:tcPr>
            <w:tcW w:type="dxa" w:w="2268"/>
            <w:vAlign w:val="center"/>
          </w:tcPr>
          <w:p>
            <w:pPr>
              <w:jc w:val="center"/>
            </w:pPr>
            <w:r/>
            <w:r>
              <w:rPr>
                <w:rFonts w:ascii="Times New Roman" w:hAnsi="Times New Roman"/>
                <w:b w:val="0"/>
                <w:i w:val="0"/>
                <w:sz w:val="20"/>
              </w:rPr>
              <w:t>0.8410</w:t>
            </w:r>
          </w:p>
        </w:tc>
        <w:tc>
          <w:tcPr>
            <w:tcW w:type="dxa" w:w="2268"/>
            <w:vAlign w:val="center"/>
          </w:tcPr>
          <w:p>
            <w:pPr>
              <w:jc w:val="center"/>
            </w:pPr>
            <w:r/>
            <w:r>
              <w:rPr>
                <w:rFonts w:ascii="Times New Roman" w:hAnsi="Times New Roman"/>
                <w:b w:val="0"/>
                <w:i w:val="0"/>
                <w:sz w:val="20"/>
              </w:rPr>
              <w:t>%40.8</w:t>
            </w:r>
          </w:p>
        </w:tc>
        <w:tc>
          <w:tcPr>
            <w:tcW w:type="dxa" w:w="2268"/>
            <w:vAlign w:val="center"/>
          </w:tcPr>
          <w:p>
            <w:pPr>
              <w:jc w:val="center"/>
            </w:pPr>
            <w:r/>
            <w:r>
              <w:rPr>
                <w:rFonts w:ascii="Times New Roman" w:hAnsi="Times New Roman"/>
                <w:b w:val="0"/>
                <w:i w:val="0"/>
                <w:sz w:val="20"/>
              </w:rPr>
              <w:t>+%17.4</w:t>
            </w:r>
          </w:p>
        </w:tc>
      </w:tr>
      <w:tr>
        <w:tc>
          <w:tcPr>
            <w:tcW w:type="dxa" w:w="2268"/>
            <w:vAlign w:val="center"/>
          </w:tcPr>
          <w:p>
            <w:pPr>
              <w:jc w:val="center"/>
            </w:pPr>
            <w:r/>
            <w:r>
              <w:rPr>
                <w:rFonts w:ascii="Times New Roman" w:hAnsi="Times New Roman"/>
                <w:b w:val="0"/>
                <w:i w:val="0"/>
                <w:sz w:val="20"/>
              </w:rPr>
              <w:t>XGBoost</w:t>
            </w:r>
          </w:p>
        </w:tc>
        <w:tc>
          <w:tcPr>
            <w:tcW w:type="dxa" w:w="2268"/>
            <w:vAlign w:val="center"/>
          </w:tcPr>
          <w:p>
            <w:pPr>
              <w:jc w:val="center"/>
            </w:pPr>
            <w:r/>
            <w:r>
              <w:rPr>
                <w:rFonts w:ascii="Times New Roman" w:hAnsi="Times New Roman"/>
                <w:b w:val="0"/>
                <w:i w:val="0"/>
                <w:sz w:val="20"/>
              </w:rPr>
              <w:t>0.8404</w:t>
            </w:r>
          </w:p>
        </w:tc>
        <w:tc>
          <w:tcPr>
            <w:tcW w:type="dxa" w:w="2268"/>
            <w:vAlign w:val="center"/>
          </w:tcPr>
          <w:p>
            <w:pPr>
              <w:jc w:val="center"/>
            </w:pPr>
            <w:r/>
            <w:r>
              <w:rPr>
                <w:rFonts w:ascii="Times New Roman" w:hAnsi="Times New Roman"/>
                <w:b w:val="0"/>
                <w:i w:val="0"/>
                <w:sz w:val="20"/>
              </w:rPr>
              <w:t>%41.1</w:t>
            </w:r>
          </w:p>
        </w:tc>
        <w:tc>
          <w:tcPr>
            <w:tcW w:type="dxa" w:w="2268"/>
            <w:vAlign w:val="center"/>
          </w:tcPr>
          <w:p>
            <w:pPr>
              <w:jc w:val="center"/>
            </w:pPr>
            <w:r/>
            <w:r>
              <w:rPr>
                <w:rFonts w:ascii="Times New Roman" w:hAnsi="Times New Roman"/>
                <w:b w:val="0"/>
                <w:i w:val="0"/>
                <w:sz w:val="20"/>
              </w:rPr>
              <w:t>+%18.6</w:t>
            </w:r>
          </w:p>
        </w:tc>
      </w:tr>
      <w:tr>
        <w:tc>
          <w:tcPr>
            <w:tcW w:type="dxa" w:w="2268"/>
            <w:vAlign w:val="center"/>
          </w:tcPr>
          <w:p>
            <w:pPr>
              <w:jc w:val="center"/>
            </w:pPr>
            <w:r/>
            <w:r>
              <w:rPr>
                <w:rFonts w:ascii="Times New Roman" w:hAnsi="Times New Roman"/>
                <w:b w:val="0"/>
                <w:i w:val="0"/>
                <w:sz w:val="20"/>
              </w:rPr>
              <w:t>StackingEnsemble</w:t>
            </w:r>
          </w:p>
        </w:tc>
        <w:tc>
          <w:tcPr>
            <w:tcW w:type="dxa" w:w="2268"/>
            <w:vAlign w:val="center"/>
          </w:tcPr>
          <w:p>
            <w:pPr>
              <w:jc w:val="center"/>
            </w:pPr>
            <w:r/>
            <w:r>
              <w:rPr>
                <w:rFonts w:ascii="Times New Roman" w:hAnsi="Times New Roman"/>
                <w:b w:val="0"/>
                <w:i w:val="0"/>
                <w:sz w:val="20"/>
              </w:rPr>
              <w:t>0.8391</w:t>
            </w:r>
          </w:p>
        </w:tc>
        <w:tc>
          <w:tcPr>
            <w:tcW w:type="dxa" w:w="2268"/>
            <w:vAlign w:val="center"/>
          </w:tcPr>
          <w:p>
            <w:pPr>
              <w:jc w:val="center"/>
            </w:pPr>
            <w:r/>
            <w:r>
              <w:rPr>
                <w:rFonts w:ascii="Times New Roman" w:hAnsi="Times New Roman"/>
                <w:b w:val="0"/>
                <w:i w:val="0"/>
                <w:sz w:val="20"/>
              </w:rPr>
              <w:t>%40.6</w:t>
            </w:r>
          </w:p>
        </w:tc>
        <w:tc>
          <w:tcPr>
            <w:tcW w:type="dxa" w:w="2268"/>
            <w:vAlign w:val="center"/>
          </w:tcPr>
          <w:p>
            <w:pPr>
              <w:jc w:val="center"/>
            </w:pPr>
            <w:r/>
            <w:r>
              <w:rPr>
                <w:rFonts w:ascii="Times New Roman" w:hAnsi="Times New Roman"/>
                <w:b w:val="0"/>
                <w:i w:val="0"/>
                <w:sz w:val="20"/>
              </w:rPr>
              <w:t>+%94.3</w:t>
            </w:r>
          </w:p>
        </w:tc>
      </w:tr>
      <w:tr>
        <w:tc>
          <w:tcPr>
            <w:tcW w:type="dxa" w:w="2268"/>
            <w:vAlign w:val="center"/>
          </w:tcPr>
          <w:p>
            <w:pPr>
              <w:jc w:val="center"/>
            </w:pPr>
            <w:r/>
            <w:r>
              <w:rPr>
                <w:rFonts w:ascii="Times New Roman" w:hAnsi="Times New Roman"/>
                <w:b w:val="0"/>
                <w:i w:val="0"/>
                <w:sz w:val="20"/>
              </w:rPr>
              <w:t>BaggingLGBM</w:t>
            </w:r>
          </w:p>
        </w:tc>
        <w:tc>
          <w:tcPr>
            <w:tcW w:type="dxa" w:w="2268"/>
            <w:vAlign w:val="center"/>
          </w:tcPr>
          <w:p>
            <w:pPr>
              <w:jc w:val="center"/>
            </w:pPr>
            <w:r/>
            <w:r>
              <w:rPr>
                <w:rFonts w:ascii="Times New Roman" w:hAnsi="Times New Roman"/>
                <w:b w:val="0"/>
                <w:i w:val="0"/>
                <w:sz w:val="20"/>
              </w:rPr>
              <w:t>0.8387</w:t>
            </w:r>
          </w:p>
        </w:tc>
        <w:tc>
          <w:tcPr>
            <w:tcW w:type="dxa" w:w="2268"/>
            <w:vAlign w:val="center"/>
          </w:tcPr>
          <w:p>
            <w:pPr>
              <w:jc w:val="center"/>
            </w:pPr>
            <w:r/>
            <w:r>
              <w:rPr>
                <w:rFonts w:ascii="Times New Roman" w:hAnsi="Times New Roman"/>
                <w:b w:val="0"/>
                <w:i w:val="0"/>
                <w:sz w:val="20"/>
              </w:rPr>
              <w:t>%40.4</w:t>
            </w:r>
          </w:p>
        </w:tc>
        <w:tc>
          <w:tcPr>
            <w:tcW w:type="dxa" w:w="2268"/>
            <w:vAlign w:val="center"/>
          </w:tcPr>
          <w:p>
            <w:pPr>
              <w:jc w:val="center"/>
            </w:pPr>
            <w:r/>
            <w:r>
              <w:rPr>
                <w:rFonts w:ascii="Times New Roman" w:hAnsi="Times New Roman"/>
                <w:b w:val="0"/>
                <w:i w:val="0"/>
                <w:sz w:val="20"/>
              </w:rPr>
              <w:t>+%16.6</w:t>
            </w:r>
          </w:p>
        </w:tc>
      </w:tr>
      <w:tr>
        <w:tc>
          <w:tcPr>
            <w:tcW w:type="dxa" w:w="2268"/>
            <w:vAlign w:val="center"/>
          </w:tcPr>
          <w:p>
            <w:pPr>
              <w:jc w:val="center"/>
            </w:pPr>
            <w:r/>
            <w:r>
              <w:rPr>
                <w:rFonts w:ascii="Times New Roman" w:hAnsi="Times New Roman"/>
                <w:b w:val="0"/>
                <w:i w:val="0"/>
                <w:sz w:val="20"/>
              </w:rPr>
              <w:t>GradientBoosting</w:t>
            </w:r>
          </w:p>
        </w:tc>
        <w:tc>
          <w:tcPr>
            <w:tcW w:type="dxa" w:w="2268"/>
            <w:vAlign w:val="center"/>
          </w:tcPr>
          <w:p>
            <w:pPr>
              <w:jc w:val="center"/>
            </w:pPr>
            <w:r/>
            <w:r>
              <w:rPr>
                <w:rFonts w:ascii="Times New Roman" w:hAnsi="Times New Roman"/>
                <w:b w:val="0"/>
                <w:i w:val="0"/>
                <w:sz w:val="20"/>
              </w:rPr>
              <w:t>0.8324</w:t>
            </w:r>
          </w:p>
        </w:tc>
        <w:tc>
          <w:tcPr>
            <w:tcW w:type="dxa" w:w="2268"/>
            <w:vAlign w:val="center"/>
          </w:tcPr>
          <w:p>
            <w:pPr>
              <w:jc w:val="center"/>
            </w:pPr>
            <w:r/>
            <w:r>
              <w:rPr>
                <w:rFonts w:ascii="Times New Roman" w:hAnsi="Times New Roman"/>
                <w:b w:val="0"/>
                <w:i w:val="0"/>
                <w:sz w:val="20"/>
              </w:rPr>
              <w:t>%40.4</w:t>
            </w:r>
          </w:p>
        </w:tc>
        <w:tc>
          <w:tcPr>
            <w:tcW w:type="dxa" w:w="2268"/>
            <w:vAlign w:val="center"/>
          </w:tcPr>
          <w:p>
            <w:pPr>
              <w:jc w:val="center"/>
            </w:pPr>
            <w:r/>
            <w:r>
              <w:rPr>
                <w:rFonts w:ascii="Times New Roman" w:hAnsi="Times New Roman"/>
                <w:b w:val="0"/>
                <w:i w:val="0"/>
                <w:sz w:val="20"/>
              </w:rPr>
              <w:t>+%60.2</w:t>
            </w:r>
          </w:p>
        </w:tc>
      </w:tr>
      <w:tr>
        <w:tc>
          <w:tcPr>
            <w:tcW w:type="dxa" w:w="2268"/>
            <w:vAlign w:val="center"/>
          </w:tcPr>
          <w:p>
            <w:pPr>
              <w:jc w:val="center"/>
            </w:pPr>
            <w:r/>
            <w:r>
              <w:rPr>
                <w:rFonts w:ascii="Times New Roman" w:hAnsi="Times New Roman"/>
                <w:b w:val="0"/>
                <w:i w:val="0"/>
                <w:sz w:val="20"/>
              </w:rPr>
              <w:t>LogisticRegression</w:t>
            </w:r>
          </w:p>
        </w:tc>
        <w:tc>
          <w:tcPr>
            <w:tcW w:type="dxa" w:w="2268"/>
            <w:vAlign w:val="center"/>
          </w:tcPr>
          <w:p>
            <w:pPr>
              <w:jc w:val="center"/>
            </w:pPr>
            <w:r/>
            <w:r>
              <w:rPr>
                <w:rFonts w:ascii="Times New Roman" w:hAnsi="Times New Roman"/>
                <w:b w:val="0"/>
                <w:i w:val="0"/>
                <w:sz w:val="20"/>
              </w:rPr>
              <w:t>0.8243</w:t>
            </w:r>
          </w:p>
        </w:tc>
        <w:tc>
          <w:tcPr>
            <w:tcW w:type="dxa" w:w="2268"/>
            <w:vAlign w:val="center"/>
          </w:tcPr>
          <w:p>
            <w:pPr>
              <w:jc w:val="center"/>
            </w:pPr>
            <w:r/>
            <w:r>
              <w:rPr>
                <w:rFonts w:ascii="Times New Roman" w:hAnsi="Times New Roman"/>
                <w:b w:val="0"/>
                <w:i w:val="0"/>
                <w:sz w:val="20"/>
              </w:rPr>
              <w:t>%38.6</w:t>
            </w:r>
          </w:p>
        </w:tc>
        <w:tc>
          <w:tcPr>
            <w:tcW w:type="dxa" w:w="2268"/>
            <w:vAlign w:val="center"/>
          </w:tcPr>
          <w:p>
            <w:pPr>
              <w:jc w:val="center"/>
            </w:pPr>
            <w:r/>
            <w:r>
              <w:rPr>
                <w:rFonts w:ascii="Times New Roman" w:hAnsi="Times New Roman"/>
                <w:b w:val="0"/>
                <w:i w:val="0"/>
                <w:sz w:val="20"/>
              </w:rPr>
              <w:t>+%8.6</w:t>
            </w:r>
          </w:p>
        </w:tc>
      </w:tr>
      <w:tr>
        <w:tc>
          <w:tcPr>
            <w:tcW w:type="dxa" w:w="2268"/>
            <w:vAlign w:val="center"/>
          </w:tcPr>
          <w:p>
            <w:pPr>
              <w:jc w:val="center"/>
            </w:pPr>
            <w:r/>
            <w:r>
              <w:rPr>
                <w:rFonts w:ascii="Times New Roman" w:hAnsi="Times New Roman"/>
                <w:b w:val="0"/>
                <w:i w:val="0"/>
                <w:sz w:val="20"/>
              </w:rPr>
              <w:t>RandomForest</w:t>
            </w:r>
          </w:p>
        </w:tc>
        <w:tc>
          <w:tcPr>
            <w:tcW w:type="dxa" w:w="2268"/>
            <w:vAlign w:val="center"/>
          </w:tcPr>
          <w:p>
            <w:pPr>
              <w:jc w:val="center"/>
            </w:pPr>
            <w:r/>
            <w:r>
              <w:rPr>
                <w:rFonts w:ascii="Times New Roman" w:hAnsi="Times New Roman"/>
                <w:b w:val="0"/>
                <w:i w:val="0"/>
                <w:sz w:val="20"/>
              </w:rPr>
              <w:t>0.8195</w:t>
            </w:r>
          </w:p>
        </w:tc>
        <w:tc>
          <w:tcPr>
            <w:tcW w:type="dxa" w:w="2268"/>
            <w:vAlign w:val="center"/>
          </w:tcPr>
          <w:p>
            <w:pPr>
              <w:jc w:val="center"/>
            </w:pPr>
            <w:r/>
            <w:r>
              <w:rPr>
                <w:rFonts w:ascii="Times New Roman" w:hAnsi="Times New Roman"/>
                <w:b w:val="0"/>
                <w:i w:val="0"/>
                <w:sz w:val="20"/>
              </w:rPr>
              <w:t>%37.5</w:t>
            </w:r>
          </w:p>
        </w:tc>
        <w:tc>
          <w:tcPr>
            <w:tcW w:type="dxa" w:w="2268"/>
            <w:vAlign w:val="center"/>
          </w:tcPr>
          <w:p>
            <w:pPr>
              <w:jc w:val="center"/>
            </w:pPr>
            <w:r/>
            <w:r>
              <w:rPr>
                <w:rFonts w:ascii="Times New Roman" w:hAnsi="Times New Roman"/>
                <w:b w:val="0"/>
                <w:i w:val="0"/>
                <w:sz w:val="20"/>
              </w:rPr>
              <w:t>%-7.5</w:t>
            </w:r>
          </w:p>
        </w:tc>
      </w:tr>
    </w:tbl>
    <w:p/>
    <w:p>
      <w:pPr>
        <w:jc w:val="center"/>
      </w:pPr>
      <w:r>
        <w:drawing>
          <wp:inline xmlns:a="http://schemas.openxmlformats.org/drawingml/2006/main" xmlns:pic="http://schemas.openxmlformats.org/drawingml/2006/picture">
            <wp:extent cx="5040000" cy="1786353"/>
            <wp:docPr id="1" name="Picture 1"/>
            <wp:cNvGraphicFramePr>
              <a:graphicFrameLocks noChangeAspect="1"/>
            </wp:cNvGraphicFramePr>
            <a:graphic>
              <a:graphicData uri="http://schemas.openxmlformats.org/drawingml/2006/picture">
                <pic:pic>
                  <pic:nvPicPr>
                    <pic:cNvPr id="0" name="academic_plot_is_winner.png"/>
                    <pic:cNvPicPr/>
                  </pic:nvPicPr>
                  <pic:blipFill>
                    <a:blip r:embed="rId10"/>
                    <a:stretch>
                      <a:fillRect/>
                    </a:stretch>
                  </pic:blipFill>
                  <pic:spPr>
                    <a:xfrm>
                      <a:off x="0" y="0"/>
                      <a:ext cx="5040000" cy="1786353"/>
                    </a:xfrm>
                    <a:prstGeom prst="rect"/>
                  </pic:spPr>
                </pic:pic>
              </a:graphicData>
            </a:graphic>
          </wp:inline>
        </w:drawing>
      </w:r>
    </w:p>
    <w:p>
      <w:pPr>
        <w:spacing w:after="240"/>
        <w:jc w:val="center"/>
      </w:pPr>
      <w:r>
        <w:rPr>
          <w:rFonts w:ascii="Times New Roman" w:hAnsi="Times New Roman"/>
          <w:b w:val="0"/>
          <w:i w:val="0"/>
          <w:sz w:val="22"/>
        </w:rPr>
        <w:t>Şekil 1: Birincilik (Is_Winner) tahmini algoritmalarının AUC, isabet oranı (P@1) ve ROI düzeyindeki performans grafikleri</w:t>
      </w:r>
    </w:p>
    <w:p>
      <w:pPr>
        <w:spacing w:after="120"/>
        <w:jc w:val="both"/>
      </w:pPr>
      <w:r>
        <w:rPr>
          <w:rFonts w:ascii="Times New Roman" w:hAnsi="Times New Roman"/>
          <w:b/>
          <w:i w:val="0"/>
          <w:sz w:val="24"/>
        </w:rPr>
        <w:t>Tabela Tahmini Sonuçları (Is_Top3)</w:t>
      </w:r>
    </w:p>
    <w:p>
      <w:pPr>
        <w:spacing w:after="120"/>
        <w:jc w:val="both"/>
      </w:pPr>
      <w:r>
        <w:rPr>
          <w:rFonts w:ascii="Times New Roman" w:hAnsi="Times New Roman"/>
          <w:b w:val="0"/>
          <w:i w:val="0"/>
          <w:sz w:val="24"/>
        </w:rPr>
        <w:t>Hedef değişkenin ilk üç sıra olarak ele alındığı model kümesinde isabet oranları belirgin biçimde yükselmiştir. Tablo 4'te görüldüğü üzere StackingEnsemble modeli (AUC=0.8200, P@1=%73.3, P@3=%96.4) ayırt edicilikte öncü konumdadır; bileşik skorla üretim modeli olarak VotingEnsemble (P@1=%73.4, P@3=%96.7) seçilmiştir. Veride yalnızca kazanma (Ganyan) ödemesi bulunduğundan, plase/tabela finişine parasal getiri (ROI) atfetmek yanıltıcı olacağından bu hedef için ROI raporlanmamış, değerlendirme sıralama metrikleriyle (AUC, P@1, P@3) sınırlandırılmıştır.</w:t>
      </w:r>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vAlign w:val="center"/>
          </w:tcPr>
          <w:p>
            <w:pPr>
              <w:jc w:val="center"/>
            </w:pPr>
            <w:r/>
            <w:r>
              <w:rPr>
                <w:rFonts w:ascii="Times New Roman" w:hAnsi="Times New Roman"/>
                <w:b/>
                <w:i w:val="0"/>
                <w:sz w:val="22"/>
              </w:rPr>
              <w:t>Tablo 4: Tabela Tahmini İçin Model Performansları (Is_Top3)</w:t>
            </w:r>
          </w:p>
        </w:tc>
      </w:tr>
      <w:tr>
        <w:tc>
          <w:tcPr>
            <w:tcW w:type="dxa" w:w="2268"/>
            <w:vAlign w:val="center"/>
          </w:tcPr>
          <w:p>
            <w:pPr>
              <w:jc w:val="center"/>
            </w:pPr>
            <w:r/>
            <w:r>
              <w:rPr>
                <w:rFonts w:ascii="Times New Roman" w:hAnsi="Times New Roman"/>
                <w:b/>
                <w:i w:val="0"/>
                <w:sz w:val="20"/>
              </w:rPr>
              <w:t>Model Algoritması</w:t>
            </w:r>
          </w:p>
        </w:tc>
        <w:tc>
          <w:tcPr>
            <w:tcW w:type="dxa" w:w="2268"/>
            <w:vAlign w:val="center"/>
          </w:tcPr>
          <w:p>
            <w:pPr>
              <w:jc w:val="center"/>
            </w:pPr>
            <w:r/>
            <w:r>
              <w:rPr>
                <w:rFonts w:ascii="Times New Roman" w:hAnsi="Times New Roman"/>
                <w:b/>
                <w:i w:val="0"/>
                <w:sz w:val="20"/>
              </w:rPr>
              <w:t>Eğri Altı Alan (AUC)</w:t>
            </w:r>
          </w:p>
        </w:tc>
        <w:tc>
          <w:tcPr>
            <w:tcW w:type="dxa" w:w="2268"/>
            <w:vAlign w:val="center"/>
          </w:tcPr>
          <w:p>
            <w:pPr>
              <w:jc w:val="center"/>
            </w:pPr>
            <w:r/>
            <w:r>
              <w:rPr>
                <w:rFonts w:ascii="Times New Roman" w:hAnsi="Times New Roman"/>
                <w:b/>
                <w:i w:val="0"/>
                <w:sz w:val="20"/>
              </w:rPr>
              <w:t>Sıra-3 İsabet Doğruluğu (P@1)</w:t>
            </w:r>
          </w:p>
        </w:tc>
        <w:tc>
          <w:tcPr>
            <w:tcW w:type="dxa" w:w="2268"/>
            <w:vAlign w:val="center"/>
          </w:tcPr>
          <w:p>
            <w:pPr>
              <w:jc w:val="center"/>
            </w:pPr>
            <w:r/>
            <w:r>
              <w:rPr>
                <w:rFonts w:ascii="Times New Roman" w:hAnsi="Times New Roman"/>
                <w:b/>
                <w:i w:val="0"/>
                <w:sz w:val="20"/>
              </w:rPr>
              <w:t>Precision@3</w:t>
            </w:r>
          </w:p>
        </w:tc>
      </w:tr>
      <w:tr>
        <w:tc>
          <w:tcPr>
            <w:tcW w:type="dxa" w:w="2268"/>
            <w:vAlign w:val="center"/>
          </w:tcPr>
          <w:p>
            <w:pPr>
              <w:jc w:val="center"/>
            </w:pPr>
            <w:r/>
            <w:r>
              <w:rPr>
                <w:rFonts w:ascii="Times New Roman" w:hAnsi="Times New Roman"/>
                <w:b w:val="0"/>
                <w:i w:val="0"/>
                <w:sz w:val="20"/>
              </w:rPr>
              <w:t>StackingEnsemble</w:t>
            </w:r>
          </w:p>
        </w:tc>
        <w:tc>
          <w:tcPr>
            <w:tcW w:type="dxa" w:w="2268"/>
            <w:vAlign w:val="center"/>
          </w:tcPr>
          <w:p>
            <w:pPr>
              <w:jc w:val="center"/>
            </w:pPr>
            <w:r/>
            <w:r>
              <w:rPr>
                <w:rFonts w:ascii="Times New Roman" w:hAnsi="Times New Roman"/>
                <w:b w:val="0"/>
                <w:i w:val="0"/>
                <w:sz w:val="20"/>
              </w:rPr>
              <w:t>0.8200</w:t>
            </w:r>
          </w:p>
        </w:tc>
        <w:tc>
          <w:tcPr>
            <w:tcW w:type="dxa" w:w="2268"/>
            <w:vAlign w:val="center"/>
          </w:tcPr>
          <w:p>
            <w:pPr>
              <w:jc w:val="center"/>
            </w:pPr>
            <w:r/>
            <w:r>
              <w:rPr>
                <w:rFonts w:ascii="Times New Roman" w:hAnsi="Times New Roman"/>
                <w:b w:val="0"/>
                <w:i w:val="0"/>
                <w:sz w:val="20"/>
              </w:rPr>
              <w:t>%73.3</w:t>
            </w:r>
          </w:p>
        </w:tc>
        <w:tc>
          <w:tcPr>
            <w:tcW w:type="dxa" w:w="2268"/>
            <w:vAlign w:val="center"/>
          </w:tcPr>
          <w:p>
            <w:pPr>
              <w:jc w:val="center"/>
            </w:pPr>
            <w:r/>
            <w:r>
              <w:rPr>
                <w:rFonts w:ascii="Times New Roman" w:hAnsi="Times New Roman"/>
                <w:b w:val="0"/>
                <w:i w:val="0"/>
                <w:sz w:val="20"/>
              </w:rPr>
              <w:t>%96.4</w:t>
            </w:r>
          </w:p>
        </w:tc>
      </w:tr>
      <w:tr>
        <w:tc>
          <w:tcPr>
            <w:tcW w:type="dxa" w:w="2268"/>
            <w:vAlign w:val="center"/>
          </w:tcPr>
          <w:p>
            <w:pPr>
              <w:jc w:val="center"/>
            </w:pPr>
            <w:r/>
            <w:r>
              <w:rPr>
                <w:rFonts w:ascii="Times New Roman" w:hAnsi="Times New Roman"/>
                <w:b w:val="0"/>
                <w:i w:val="0"/>
                <w:sz w:val="20"/>
              </w:rPr>
              <w:t>LightGBM</w:t>
            </w:r>
          </w:p>
        </w:tc>
        <w:tc>
          <w:tcPr>
            <w:tcW w:type="dxa" w:w="2268"/>
            <w:vAlign w:val="center"/>
          </w:tcPr>
          <w:p>
            <w:pPr>
              <w:jc w:val="center"/>
            </w:pPr>
            <w:r/>
            <w:r>
              <w:rPr>
                <w:rFonts w:ascii="Times New Roman" w:hAnsi="Times New Roman"/>
                <w:b w:val="0"/>
                <w:i w:val="0"/>
                <w:sz w:val="20"/>
              </w:rPr>
              <w:t>0.8196</w:t>
            </w:r>
          </w:p>
        </w:tc>
        <w:tc>
          <w:tcPr>
            <w:tcW w:type="dxa" w:w="2268"/>
            <w:vAlign w:val="center"/>
          </w:tcPr>
          <w:p>
            <w:pPr>
              <w:jc w:val="center"/>
            </w:pPr>
            <w:r/>
            <w:r>
              <w:rPr>
                <w:rFonts w:ascii="Times New Roman" w:hAnsi="Times New Roman"/>
                <w:b w:val="0"/>
                <w:i w:val="0"/>
                <w:sz w:val="20"/>
              </w:rPr>
              <w:t>%72.8</w:t>
            </w:r>
          </w:p>
        </w:tc>
        <w:tc>
          <w:tcPr>
            <w:tcW w:type="dxa" w:w="2268"/>
            <w:vAlign w:val="center"/>
          </w:tcPr>
          <w:p>
            <w:pPr>
              <w:jc w:val="center"/>
            </w:pPr>
            <w:r/>
            <w:r>
              <w:rPr>
                <w:rFonts w:ascii="Times New Roman" w:hAnsi="Times New Roman"/>
                <w:b w:val="0"/>
                <w:i w:val="0"/>
                <w:sz w:val="20"/>
              </w:rPr>
              <w:t>%96.5</w:t>
            </w:r>
          </w:p>
        </w:tc>
      </w:tr>
      <w:tr>
        <w:tc>
          <w:tcPr>
            <w:tcW w:type="dxa" w:w="2268"/>
            <w:vAlign w:val="center"/>
          </w:tcPr>
          <w:p>
            <w:pPr>
              <w:jc w:val="center"/>
            </w:pPr>
            <w:r/>
            <w:r>
              <w:rPr>
                <w:rFonts w:ascii="Times New Roman" w:hAnsi="Times New Roman"/>
                <w:b w:val="0"/>
                <w:i w:val="0"/>
                <w:sz w:val="20"/>
              </w:rPr>
              <w:t>CatBoost</w:t>
            </w:r>
          </w:p>
        </w:tc>
        <w:tc>
          <w:tcPr>
            <w:tcW w:type="dxa" w:w="2268"/>
            <w:vAlign w:val="center"/>
          </w:tcPr>
          <w:p>
            <w:pPr>
              <w:jc w:val="center"/>
            </w:pPr>
            <w:r/>
            <w:r>
              <w:rPr>
                <w:rFonts w:ascii="Times New Roman" w:hAnsi="Times New Roman"/>
                <w:b w:val="0"/>
                <w:i w:val="0"/>
                <w:sz w:val="20"/>
              </w:rPr>
              <w:t>0.8195</w:t>
            </w:r>
          </w:p>
        </w:tc>
        <w:tc>
          <w:tcPr>
            <w:tcW w:type="dxa" w:w="2268"/>
            <w:vAlign w:val="center"/>
          </w:tcPr>
          <w:p>
            <w:pPr>
              <w:jc w:val="center"/>
            </w:pPr>
            <w:r/>
            <w:r>
              <w:rPr>
                <w:rFonts w:ascii="Times New Roman" w:hAnsi="Times New Roman"/>
                <w:b w:val="0"/>
                <w:i w:val="0"/>
                <w:sz w:val="20"/>
              </w:rPr>
              <w:t>%73.1</w:t>
            </w:r>
          </w:p>
        </w:tc>
        <w:tc>
          <w:tcPr>
            <w:tcW w:type="dxa" w:w="2268"/>
            <w:vAlign w:val="center"/>
          </w:tcPr>
          <w:p>
            <w:pPr>
              <w:jc w:val="center"/>
            </w:pPr>
            <w:r/>
            <w:r>
              <w:rPr>
                <w:rFonts w:ascii="Times New Roman" w:hAnsi="Times New Roman"/>
                <w:b w:val="0"/>
                <w:i w:val="0"/>
                <w:sz w:val="20"/>
              </w:rPr>
              <w:t>%96.4</w:t>
            </w:r>
          </w:p>
        </w:tc>
      </w:tr>
      <w:tr>
        <w:tc>
          <w:tcPr>
            <w:tcW w:type="dxa" w:w="2268"/>
            <w:vAlign w:val="center"/>
          </w:tcPr>
          <w:p>
            <w:pPr>
              <w:jc w:val="center"/>
            </w:pPr>
            <w:r/>
            <w:r>
              <w:rPr>
                <w:rFonts w:ascii="Times New Roman" w:hAnsi="Times New Roman"/>
                <w:b w:val="0"/>
                <w:i w:val="0"/>
                <w:sz w:val="20"/>
              </w:rPr>
              <w:t>VotingEnsemble</w:t>
            </w:r>
          </w:p>
        </w:tc>
        <w:tc>
          <w:tcPr>
            <w:tcW w:type="dxa" w:w="2268"/>
            <w:vAlign w:val="center"/>
          </w:tcPr>
          <w:p>
            <w:pPr>
              <w:jc w:val="center"/>
            </w:pPr>
            <w:r/>
            <w:r>
              <w:rPr>
                <w:rFonts w:ascii="Times New Roman" w:hAnsi="Times New Roman"/>
                <w:b w:val="0"/>
                <w:i w:val="0"/>
                <w:sz w:val="20"/>
              </w:rPr>
              <w:t>0.8195</w:t>
            </w:r>
          </w:p>
        </w:tc>
        <w:tc>
          <w:tcPr>
            <w:tcW w:type="dxa" w:w="2268"/>
            <w:vAlign w:val="center"/>
          </w:tcPr>
          <w:p>
            <w:pPr>
              <w:jc w:val="center"/>
            </w:pPr>
            <w:r/>
            <w:r>
              <w:rPr>
                <w:rFonts w:ascii="Times New Roman" w:hAnsi="Times New Roman"/>
                <w:b w:val="0"/>
                <w:i w:val="0"/>
                <w:sz w:val="20"/>
              </w:rPr>
              <w:t>%73.4</w:t>
            </w:r>
          </w:p>
        </w:tc>
        <w:tc>
          <w:tcPr>
            <w:tcW w:type="dxa" w:w="2268"/>
            <w:vAlign w:val="center"/>
          </w:tcPr>
          <w:p>
            <w:pPr>
              <w:jc w:val="center"/>
            </w:pPr>
            <w:r/>
            <w:r>
              <w:rPr>
                <w:rFonts w:ascii="Times New Roman" w:hAnsi="Times New Roman"/>
                <w:b w:val="0"/>
                <w:i w:val="0"/>
                <w:sz w:val="20"/>
              </w:rPr>
              <w:t>%96.7</w:t>
            </w:r>
          </w:p>
        </w:tc>
      </w:tr>
      <w:tr>
        <w:tc>
          <w:tcPr>
            <w:tcW w:type="dxa" w:w="2268"/>
            <w:vAlign w:val="center"/>
          </w:tcPr>
          <w:p>
            <w:pPr>
              <w:jc w:val="center"/>
            </w:pPr>
            <w:r/>
            <w:r>
              <w:rPr>
                <w:rFonts w:ascii="Times New Roman" w:hAnsi="Times New Roman"/>
                <w:b w:val="0"/>
                <w:i w:val="0"/>
                <w:sz w:val="20"/>
              </w:rPr>
              <w:t>XGBoost</w:t>
            </w:r>
          </w:p>
        </w:tc>
        <w:tc>
          <w:tcPr>
            <w:tcW w:type="dxa" w:w="2268"/>
            <w:vAlign w:val="center"/>
          </w:tcPr>
          <w:p>
            <w:pPr>
              <w:jc w:val="center"/>
            </w:pPr>
            <w:r/>
            <w:r>
              <w:rPr>
                <w:rFonts w:ascii="Times New Roman" w:hAnsi="Times New Roman"/>
                <w:b w:val="0"/>
                <w:i w:val="0"/>
                <w:sz w:val="20"/>
              </w:rPr>
              <w:t>0.8194</w:t>
            </w:r>
          </w:p>
        </w:tc>
        <w:tc>
          <w:tcPr>
            <w:tcW w:type="dxa" w:w="2268"/>
            <w:vAlign w:val="center"/>
          </w:tcPr>
          <w:p>
            <w:pPr>
              <w:jc w:val="center"/>
            </w:pPr>
            <w:r/>
            <w:r>
              <w:rPr>
                <w:rFonts w:ascii="Times New Roman" w:hAnsi="Times New Roman"/>
                <w:b w:val="0"/>
                <w:i w:val="0"/>
                <w:sz w:val="20"/>
              </w:rPr>
              <w:t>%73.0</w:t>
            </w:r>
          </w:p>
        </w:tc>
        <w:tc>
          <w:tcPr>
            <w:tcW w:type="dxa" w:w="2268"/>
            <w:vAlign w:val="center"/>
          </w:tcPr>
          <w:p>
            <w:pPr>
              <w:jc w:val="center"/>
            </w:pPr>
            <w:r/>
            <w:r>
              <w:rPr>
                <w:rFonts w:ascii="Times New Roman" w:hAnsi="Times New Roman"/>
                <w:b w:val="0"/>
                <w:i w:val="0"/>
                <w:sz w:val="20"/>
              </w:rPr>
              <w:t>%96.7</w:t>
            </w:r>
          </w:p>
        </w:tc>
      </w:tr>
      <w:tr>
        <w:tc>
          <w:tcPr>
            <w:tcW w:type="dxa" w:w="2268"/>
            <w:vAlign w:val="center"/>
          </w:tcPr>
          <w:p>
            <w:pPr>
              <w:jc w:val="center"/>
            </w:pPr>
            <w:r/>
            <w:r>
              <w:rPr>
                <w:rFonts w:ascii="Times New Roman" w:hAnsi="Times New Roman"/>
                <w:b w:val="0"/>
                <w:i w:val="0"/>
                <w:sz w:val="20"/>
              </w:rPr>
              <w:t>BaggingLGBM</w:t>
            </w:r>
          </w:p>
        </w:tc>
        <w:tc>
          <w:tcPr>
            <w:tcW w:type="dxa" w:w="2268"/>
            <w:vAlign w:val="center"/>
          </w:tcPr>
          <w:p>
            <w:pPr>
              <w:jc w:val="center"/>
            </w:pPr>
            <w:r/>
            <w:r>
              <w:rPr>
                <w:rFonts w:ascii="Times New Roman" w:hAnsi="Times New Roman"/>
                <w:b w:val="0"/>
                <w:i w:val="0"/>
                <w:sz w:val="20"/>
              </w:rPr>
              <w:t>0.8183</w:t>
            </w:r>
          </w:p>
        </w:tc>
        <w:tc>
          <w:tcPr>
            <w:tcW w:type="dxa" w:w="2268"/>
            <w:vAlign w:val="center"/>
          </w:tcPr>
          <w:p>
            <w:pPr>
              <w:jc w:val="center"/>
            </w:pPr>
            <w:r/>
            <w:r>
              <w:rPr>
                <w:rFonts w:ascii="Times New Roman" w:hAnsi="Times New Roman"/>
                <w:b w:val="0"/>
                <w:i w:val="0"/>
                <w:sz w:val="20"/>
              </w:rPr>
              <w:t>%72.9</w:t>
            </w:r>
          </w:p>
        </w:tc>
        <w:tc>
          <w:tcPr>
            <w:tcW w:type="dxa" w:w="2268"/>
            <w:vAlign w:val="center"/>
          </w:tcPr>
          <w:p>
            <w:pPr>
              <w:jc w:val="center"/>
            </w:pPr>
            <w:r/>
            <w:r>
              <w:rPr>
                <w:rFonts w:ascii="Times New Roman" w:hAnsi="Times New Roman"/>
                <w:b w:val="0"/>
                <w:i w:val="0"/>
                <w:sz w:val="20"/>
              </w:rPr>
              <w:t>%96.6</w:t>
            </w:r>
          </w:p>
        </w:tc>
      </w:tr>
      <w:tr>
        <w:tc>
          <w:tcPr>
            <w:tcW w:type="dxa" w:w="2268"/>
            <w:vAlign w:val="center"/>
          </w:tcPr>
          <w:p>
            <w:pPr>
              <w:jc w:val="center"/>
            </w:pPr>
            <w:r/>
            <w:r>
              <w:rPr>
                <w:rFonts w:ascii="Times New Roman" w:hAnsi="Times New Roman"/>
                <w:b w:val="0"/>
                <w:i w:val="0"/>
                <w:sz w:val="20"/>
              </w:rPr>
              <w:t>GradientBoosting</w:t>
            </w:r>
          </w:p>
        </w:tc>
        <w:tc>
          <w:tcPr>
            <w:tcW w:type="dxa" w:w="2268"/>
            <w:vAlign w:val="center"/>
          </w:tcPr>
          <w:p>
            <w:pPr>
              <w:jc w:val="center"/>
            </w:pPr>
            <w:r/>
            <w:r>
              <w:rPr>
                <w:rFonts w:ascii="Times New Roman" w:hAnsi="Times New Roman"/>
                <w:b w:val="0"/>
                <w:i w:val="0"/>
                <w:sz w:val="20"/>
              </w:rPr>
              <w:t>0.8104</w:t>
            </w:r>
          </w:p>
        </w:tc>
        <w:tc>
          <w:tcPr>
            <w:tcW w:type="dxa" w:w="2268"/>
            <w:vAlign w:val="center"/>
          </w:tcPr>
          <w:p>
            <w:pPr>
              <w:jc w:val="center"/>
            </w:pPr>
            <w:r/>
            <w:r>
              <w:rPr>
                <w:rFonts w:ascii="Times New Roman" w:hAnsi="Times New Roman"/>
                <w:b w:val="0"/>
                <w:i w:val="0"/>
                <w:sz w:val="20"/>
              </w:rPr>
              <w:t>%72.2</w:t>
            </w:r>
          </w:p>
        </w:tc>
        <w:tc>
          <w:tcPr>
            <w:tcW w:type="dxa" w:w="2268"/>
            <w:vAlign w:val="center"/>
          </w:tcPr>
          <w:p>
            <w:pPr>
              <w:jc w:val="center"/>
            </w:pPr>
            <w:r/>
            <w:r>
              <w:rPr>
                <w:rFonts w:ascii="Times New Roman" w:hAnsi="Times New Roman"/>
                <w:b w:val="0"/>
                <w:i w:val="0"/>
                <w:sz w:val="20"/>
              </w:rPr>
              <w:t>%96.3</w:t>
            </w:r>
          </w:p>
        </w:tc>
      </w:tr>
      <w:tr>
        <w:tc>
          <w:tcPr>
            <w:tcW w:type="dxa" w:w="2268"/>
            <w:vAlign w:val="center"/>
          </w:tcPr>
          <w:p>
            <w:pPr>
              <w:jc w:val="center"/>
            </w:pPr>
            <w:r/>
            <w:r>
              <w:rPr>
                <w:rFonts w:ascii="Times New Roman" w:hAnsi="Times New Roman"/>
                <w:b w:val="0"/>
                <w:i w:val="0"/>
                <w:sz w:val="20"/>
              </w:rPr>
              <w:t>LogisticRegression</w:t>
            </w:r>
          </w:p>
        </w:tc>
        <w:tc>
          <w:tcPr>
            <w:tcW w:type="dxa" w:w="2268"/>
            <w:vAlign w:val="center"/>
          </w:tcPr>
          <w:p>
            <w:pPr>
              <w:jc w:val="center"/>
            </w:pPr>
            <w:r/>
            <w:r>
              <w:rPr>
                <w:rFonts w:ascii="Times New Roman" w:hAnsi="Times New Roman"/>
                <w:b w:val="0"/>
                <w:i w:val="0"/>
                <w:sz w:val="20"/>
              </w:rPr>
              <w:t>0.7983</w:t>
            </w:r>
          </w:p>
        </w:tc>
        <w:tc>
          <w:tcPr>
            <w:tcW w:type="dxa" w:w="2268"/>
            <w:vAlign w:val="center"/>
          </w:tcPr>
          <w:p>
            <w:pPr>
              <w:jc w:val="center"/>
            </w:pPr>
            <w:r/>
            <w:r>
              <w:rPr>
                <w:rFonts w:ascii="Times New Roman" w:hAnsi="Times New Roman"/>
                <w:b w:val="0"/>
                <w:i w:val="0"/>
                <w:sz w:val="20"/>
              </w:rPr>
              <w:t>%71.0</w:t>
            </w:r>
          </w:p>
        </w:tc>
        <w:tc>
          <w:tcPr>
            <w:tcW w:type="dxa" w:w="2268"/>
            <w:vAlign w:val="center"/>
          </w:tcPr>
          <w:p>
            <w:pPr>
              <w:jc w:val="center"/>
            </w:pPr>
            <w:r/>
            <w:r>
              <w:rPr>
                <w:rFonts w:ascii="Times New Roman" w:hAnsi="Times New Roman"/>
                <w:b w:val="0"/>
                <w:i w:val="0"/>
                <w:sz w:val="20"/>
              </w:rPr>
              <w:t>%96.1</w:t>
            </w:r>
          </w:p>
        </w:tc>
      </w:tr>
      <w:tr>
        <w:tc>
          <w:tcPr>
            <w:tcW w:type="dxa" w:w="2268"/>
            <w:vAlign w:val="center"/>
          </w:tcPr>
          <w:p>
            <w:pPr>
              <w:jc w:val="center"/>
            </w:pPr>
            <w:r/>
            <w:r>
              <w:rPr>
                <w:rFonts w:ascii="Times New Roman" w:hAnsi="Times New Roman"/>
                <w:b w:val="0"/>
                <w:i w:val="0"/>
                <w:sz w:val="20"/>
              </w:rPr>
              <w:t>RandomForest</w:t>
            </w:r>
          </w:p>
        </w:tc>
        <w:tc>
          <w:tcPr>
            <w:tcW w:type="dxa" w:w="2268"/>
            <w:vAlign w:val="center"/>
          </w:tcPr>
          <w:p>
            <w:pPr>
              <w:jc w:val="center"/>
            </w:pPr>
            <w:r/>
            <w:r>
              <w:rPr>
                <w:rFonts w:ascii="Times New Roman" w:hAnsi="Times New Roman"/>
                <w:b w:val="0"/>
                <w:i w:val="0"/>
                <w:sz w:val="20"/>
              </w:rPr>
              <w:t>0.7913</w:t>
            </w:r>
          </w:p>
        </w:tc>
        <w:tc>
          <w:tcPr>
            <w:tcW w:type="dxa" w:w="2268"/>
            <w:vAlign w:val="center"/>
          </w:tcPr>
          <w:p>
            <w:pPr>
              <w:jc w:val="center"/>
            </w:pPr>
            <w:r/>
            <w:r>
              <w:rPr>
                <w:rFonts w:ascii="Times New Roman" w:hAnsi="Times New Roman"/>
                <w:b w:val="0"/>
                <w:i w:val="0"/>
                <w:sz w:val="20"/>
              </w:rPr>
              <w:t>%70.2</w:t>
            </w:r>
          </w:p>
        </w:tc>
        <w:tc>
          <w:tcPr>
            <w:tcW w:type="dxa" w:w="2268"/>
            <w:vAlign w:val="center"/>
          </w:tcPr>
          <w:p>
            <w:pPr>
              <w:jc w:val="center"/>
            </w:pPr>
            <w:r/>
            <w:r>
              <w:rPr>
                <w:rFonts w:ascii="Times New Roman" w:hAnsi="Times New Roman"/>
                <w:b w:val="0"/>
                <w:i w:val="0"/>
                <w:sz w:val="20"/>
              </w:rPr>
              <w:t>%95.9</w:t>
            </w:r>
          </w:p>
        </w:tc>
      </w:tr>
    </w:tbl>
    <w:p/>
    <w:p>
      <w:pPr>
        <w:jc w:val="center"/>
      </w:pPr>
      <w:r>
        <w:drawing>
          <wp:inline xmlns:a="http://schemas.openxmlformats.org/drawingml/2006/main" xmlns:pic="http://schemas.openxmlformats.org/drawingml/2006/picture">
            <wp:extent cx="5040000" cy="2690079"/>
            <wp:docPr id="2" name="Picture 2"/>
            <wp:cNvGraphicFramePr>
              <a:graphicFrameLocks noChangeAspect="1"/>
            </wp:cNvGraphicFramePr>
            <a:graphic>
              <a:graphicData uri="http://schemas.openxmlformats.org/drawingml/2006/picture">
                <pic:pic>
                  <pic:nvPicPr>
                    <pic:cNvPr id="0" name="academic_plot_is_top3.png"/>
                    <pic:cNvPicPr/>
                  </pic:nvPicPr>
                  <pic:blipFill>
                    <a:blip r:embed="rId11"/>
                    <a:stretch>
                      <a:fillRect/>
                    </a:stretch>
                  </pic:blipFill>
                  <pic:spPr>
                    <a:xfrm>
                      <a:off x="0" y="0"/>
                      <a:ext cx="5040000" cy="2690079"/>
                    </a:xfrm>
                    <a:prstGeom prst="rect"/>
                  </pic:spPr>
                </pic:pic>
              </a:graphicData>
            </a:graphic>
          </wp:inline>
        </w:drawing>
      </w:r>
    </w:p>
    <w:p>
      <w:pPr>
        <w:spacing w:after="240"/>
        <w:jc w:val="center"/>
      </w:pPr>
      <w:r>
        <w:rPr>
          <w:rFonts w:ascii="Times New Roman" w:hAnsi="Times New Roman"/>
          <w:b w:val="0"/>
          <w:i w:val="0"/>
          <w:sz w:val="22"/>
        </w:rPr>
        <w:t>Şekil 2: Tabela (Is_Top3) tahmini modellerinin performans karşılaştırma grafikleri</w:t>
      </w:r>
    </w:p>
    <w:p>
      <w:pPr>
        <w:spacing w:after="120"/>
        <w:jc w:val="both"/>
      </w:pPr>
      <w:r>
        <w:rPr>
          <w:rFonts w:ascii="Times New Roman" w:hAnsi="Times New Roman"/>
          <w:b/>
          <w:i w:val="0"/>
          <w:sz w:val="24"/>
        </w:rPr>
        <w:t>Piyasa Sinyali Ablasyonu</w:t>
      </w:r>
    </w:p>
    <w:p>
      <w:pPr>
        <w:spacing w:after="120"/>
        <w:jc w:val="both"/>
      </w:pPr>
      <w:r>
        <w:rPr>
          <w:rFonts w:ascii="Times New Roman" w:hAnsi="Times New Roman"/>
          <w:b w:val="0"/>
          <w:i w:val="0"/>
          <w:sz w:val="24"/>
        </w:rPr>
        <w:t>Ganyan_Sayi değişkeni ve türevleri çıkarıldığında, Is_Winner hedefinde ortalama AUC düşüşü +0.0252, Is_Top3 hedefinde +0.0227 olarak ölçülmüştür (Tablo 5-6, Şekil 3-4). Düşüşün küçüklüğü, modelin ayırt ediciliğinin büyük ölçüde piyasa fiyatlamasından değil; handikap, jokey/antrenör geçmişi, soy hattı ve idman verilerinden kaynaklandığını göstermektedir. Bu bulgu, modelin piyasa oranlarını yalnızca ezberlediği eleştirisini büyük ölçüde çürütmektedir.</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9072"/>
            <w:gridSpan w:val="7"/>
            <w:vAlign w:val="center"/>
          </w:tcPr>
          <w:p>
            <w:pPr>
              <w:jc w:val="center"/>
            </w:pPr>
            <w:r/>
            <w:r>
              <w:rPr>
                <w:rFonts w:ascii="Times New Roman" w:hAnsi="Times New Roman"/>
                <w:b/>
                <w:i w:val="0"/>
                <w:sz w:val="22"/>
              </w:rPr>
              <w:t>Tablo 5: Piyasa Sinyali Ablasyonu — Kazanan Tahmini (Is_Winner)</w:t>
            </w:r>
          </w:p>
        </w:tc>
      </w:tr>
      <w:tr>
        <w:tc>
          <w:tcPr>
            <w:tcW w:type="dxa" w:w="1296"/>
            <w:vAlign w:val="center"/>
          </w:tcPr>
          <w:p>
            <w:pPr>
              <w:jc w:val="center"/>
            </w:pPr>
            <w:r/>
            <w:r>
              <w:rPr>
                <w:rFonts w:ascii="Times New Roman" w:hAnsi="Times New Roman"/>
                <w:b/>
                <w:i w:val="0"/>
                <w:sz w:val="20"/>
              </w:rPr>
              <w:t>Model</w:t>
            </w:r>
          </w:p>
        </w:tc>
        <w:tc>
          <w:tcPr>
            <w:tcW w:type="dxa" w:w="1296"/>
            <w:vAlign w:val="center"/>
          </w:tcPr>
          <w:p>
            <w:pPr>
              <w:jc w:val="center"/>
            </w:pPr>
            <w:r/>
            <w:r>
              <w:rPr>
                <w:rFonts w:ascii="Times New Roman" w:hAnsi="Times New Roman"/>
                <w:b/>
                <w:i w:val="0"/>
                <w:sz w:val="20"/>
              </w:rPr>
              <w:t>AUC (tam)</w:t>
            </w:r>
          </w:p>
        </w:tc>
        <w:tc>
          <w:tcPr>
            <w:tcW w:type="dxa" w:w="1296"/>
            <w:vAlign w:val="center"/>
          </w:tcPr>
          <w:p>
            <w:pPr>
              <w:jc w:val="center"/>
            </w:pPr>
            <w:r/>
            <w:r>
              <w:rPr>
                <w:rFonts w:ascii="Times New Roman" w:hAnsi="Times New Roman"/>
                <w:b/>
                <w:i w:val="0"/>
                <w:sz w:val="20"/>
              </w:rPr>
              <w:t>AUC (Ganyansız)</w:t>
            </w:r>
          </w:p>
        </w:tc>
        <w:tc>
          <w:tcPr>
            <w:tcW w:type="dxa" w:w="1296"/>
            <w:vAlign w:val="center"/>
          </w:tcPr>
          <w:p>
            <w:pPr>
              <w:jc w:val="center"/>
            </w:pPr>
            <w:r/>
            <w:r>
              <w:rPr>
                <w:rFonts w:ascii="Times New Roman" w:hAnsi="Times New Roman"/>
                <w:b/>
                <w:i w:val="0"/>
                <w:sz w:val="20"/>
              </w:rPr>
              <w:t>ΔAUC</w:t>
            </w:r>
          </w:p>
        </w:tc>
        <w:tc>
          <w:tcPr>
            <w:tcW w:type="dxa" w:w="1296"/>
            <w:vAlign w:val="center"/>
          </w:tcPr>
          <w:p>
            <w:pPr>
              <w:jc w:val="center"/>
            </w:pPr>
            <w:r/>
            <w:r>
              <w:rPr>
                <w:rFonts w:ascii="Times New Roman" w:hAnsi="Times New Roman"/>
                <w:b/>
                <w:i w:val="0"/>
                <w:sz w:val="20"/>
              </w:rPr>
              <w:t>P@1 (tam)</w:t>
            </w:r>
          </w:p>
        </w:tc>
        <w:tc>
          <w:tcPr>
            <w:tcW w:type="dxa" w:w="1296"/>
            <w:vAlign w:val="center"/>
          </w:tcPr>
          <w:p>
            <w:pPr>
              <w:jc w:val="center"/>
            </w:pPr>
            <w:r/>
            <w:r>
              <w:rPr>
                <w:rFonts w:ascii="Times New Roman" w:hAnsi="Times New Roman"/>
                <w:b/>
                <w:i w:val="0"/>
                <w:sz w:val="20"/>
              </w:rPr>
              <w:t>P@1 (Ganyansız)</w:t>
            </w:r>
          </w:p>
        </w:tc>
        <w:tc>
          <w:tcPr>
            <w:tcW w:type="dxa" w:w="1296"/>
            <w:vAlign w:val="center"/>
          </w:tcPr>
          <w:p>
            <w:pPr>
              <w:jc w:val="center"/>
            </w:pPr>
            <w:r/>
            <w:r>
              <w:rPr>
                <w:rFonts w:ascii="Times New Roman" w:hAnsi="Times New Roman"/>
                <w:b/>
                <w:i w:val="0"/>
                <w:sz w:val="20"/>
              </w:rPr>
              <w:t>ΔP@1</w:t>
            </w:r>
          </w:p>
        </w:tc>
      </w:tr>
      <w:tr>
        <w:tc>
          <w:tcPr>
            <w:tcW w:type="dxa" w:w="1296"/>
            <w:vAlign w:val="center"/>
          </w:tcPr>
          <w:p>
            <w:pPr>
              <w:jc w:val="center"/>
            </w:pPr>
            <w:r/>
            <w:r>
              <w:rPr>
                <w:rFonts w:ascii="Times New Roman" w:hAnsi="Times New Roman"/>
                <w:b w:val="0"/>
                <w:i w:val="0"/>
                <w:sz w:val="20"/>
              </w:rPr>
              <w:t>CatBoost</w:t>
            </w:r>
          </w:p>
        </w:tc>
        <w:tc>
          <w:tcPr>
            <w:tcW w:type="dxa" w:w="1296"/>
            <w:vAlign w:val="center"/>
          </w:tcPr>
          <w:p>
            <w:pPr>
              <w:jc w:val="center"/>
            </w:pPr>
            <w:r/>
            <w:r>
              <w:rPr>
                <w:rFonts w:ascii="Times New Roman" w:hAnsi="Times New Roman"/>
                <w:b w:val="0"/>
                <w:i w:val="0"/>
                <w:sz w:val="20"/>
              </w:rPr>
              <w:t>0.8452</w:t>
            </w:r>
          </w:p>
        </w:tc>
        <w:tc>
          <w:tcPr>
            <w:tcW w:type="dxa" w:w="1296"/>
            <w:vAlign w:val="center"/>
          </w:tcPr>
          <w:p>
            <w:pPr>
              <w:jc w:val="center"/>
            </w:pPr>
            <w:r/>
            <w:r>
              <w:rPr>
                <w:rFonts w:ascii="Times New Roman" w:hAnsi="Times New Roman"/>
                <w:b w:val="0"/>
                <w:i w:val="0"/>
                <w:sz w:val="20"/>
              </w:rPr>
              <w:t>0.8218</w:t>
            </w:r>
          </w:p>
        </w:tc>
        <w:tc>
          <w:tcPr>
            <w:tcW w:type="dxa" w:w="1296"/>
            <w:vAlign w:val="center"/>
          </w:tcPr>
          <w:p>
            <w:pPr>
              <w:jc w:val="center"/>
            </w:pPr>
            <w:r/>
            <w:r>
              <w:rPr>
                <w:rFonts w:ascii="Times New Roman" w:hAnsi="Times New Roman"/>
                <w:b w:val="0"/>
                <w:i w:val="0"/>
                <w:sz w:val="20"/>
              </w:rPr>
              <w:t>+0.0234</w:t>
            </w:r>
          </w:p>
        </w:tc>
        <w:tc>
          <w:tcPr>
            <w:tcW w:type="dxa" w:w="1296"/>
            <w:vAlign w:val="center"/>
          </w:tcPr>
          <w:p>
            <w:pPr>
              <w:jc w:val="center"/>
            </w:pPr>
            <w:r/>
            <w:r>
              <w:rPr>
                <w:rFonts w:ascii="Times New Roman" w:hAnsi="Times New Roman"/>
                <w:b w:val="0"/>
                <w:i w:val="0"/>
                <w:sz w:val="20"/>
              </w:rPr>
              <w:t>%41.8</w:t>
            </w:r>
          </w:p>
        </w:tc>
        <w:tc>
          <w:tcPr>
            <w:tcW w:type="dxa" w:w="1296"/>
            <w:vAlign w:val="center"/>
          </w:tcPr>
          <w:p>
            <w:pPr>
              <w:jc w:val="center"/>
            </w:pPr>
            <w:r/>
            <w:r>
              <w:rPr>
                <w:rFonts w:ascii="Times New Roman" w:hAnsi="Times New Roman"/>
                <w:b w:val="0"/>
                <w:i w:val="0"/>
                <w:sz w:val="20"/>
              </w:rPr>
              <w:t>%40.4</w:t>
            </w:r>
          </w:p>
        </w:tc>
        <w:tc>
          <w:tcPr>
            <w:tcW w:type="dxa" w:w="1296"/>
            <w:vAlign w:val="center"/>
          </w:tcPr>
          <w:p>
            <w:pPr>
              <w:jc w:val="center"/>
            </w:pPr>
            <w:r/>
            <w:r>
              <w:rPr>
                <w:rFonts w:ascii="Times New Roman" w:hAnsi="Times New Roman"/>
                <w:b w:val="0"/>
                <w:i w:val="0"/>
                <w:sz w:val="20"/>
              </w:rPr>
              <w:t>+%1.4</w:t>
            </w:r>
          </w:p>
        </w:tc>
      </w:tr>
      <w:tr>
        <w:tc>
          <w:tcPr>
            <w:tcW w:type="dxa" w:w="1296"/>
            <w:vAlign w:val="center"/>
          </w:tcPr>
          <w:p>
            <w:pPr>
              <w:jc w:val="center"/>
            </w:pPr>
            <w:r/>
            <w:r>
              <w:rPr>
                <w:rFonts w:ascii="Times New Roman" w:hAnsi="Times New Roman"/>
                <w:b w:val="0"/>
                <w:i w:val="0"/>
                <w:sz w:val="20"/>
              </w:rPr>
              <w:t>VotingEnsemble</w:t>
            </w:r>
          </w:p>
        </w:tc>
        <w:tc>
          <w:tcPr>
            <w:tcW w:type="dxa" w:w="1296"/>
            <w:vAlign w:val="center"/>
          </w:tcPr>
          <w:p>
            <w:pPr>
              <w:jc w:val="center"/>
            </w:pPr>
            <w:r/>
            <w:r>
              <w:rPr>
                <w:rFonts w:ascii="Times New Roman" w:hAnsi="Times New Roman"/>
                <w:b w:val="0"/>
                <w:i w:val="0"/>
                <w:sz w:val="20"/>
              </w:rPr>
              <w:t>0.8417</w:t>
            </w:r>
          </w:p>
        </w:tc>
        <w:tc>
          <w:tcPr>
            <w:tcW w:type="dxa" w:w="1296"/>
            <w:vAlign w:val="center"/>
          </w:tcPr>
          <w:p>
            <w:pPr>
              <w:jc w:val="center"/>
            </w:pPr>
            <w:r/>
            <w:r>
              <w:rPr>
                <w:rFonts w:ascii="Times New Roman" w:hAnsi="Times New Roman"/>
                <w:b w:val="0"/>
                <w:i w:val="0"/>
                <w:sz w:val="20"/>
              </w:rPr>
              <w:t>0.8199</w:t>
            </w:r>
          </w:p>
        </w:tc>
        <w:tc>
          <w:tcPr>
            <w:tcW w:type="dxa" w:w="1296"/>
            <w:vAlign w:val="center"/>
          </w:tcPr>
          <w:p>
            <w:pPr>
              <w:jc w:val="center"/>
            </w:pPr>
            <w:r/>
            <w:r>
              <w:rPr>
                <w:rFonts w:ascii="Times New Roman" w:hAnsi="Times New Roman"/>
                <w:b w:val="0"/>
                <w:i w:val="0"/>
                <w:sz w:val="20"/>
              </w:rPr>
              <w:t>+0.0218</w:t>
            </w:r>
          </w:p>
        </w:tc>
        <w:tc>
          <w:tcPr>
            <w:tcW w:type="dxa" w:w="1296"/>
            <w:vAlign w:val="center"/>
          </w:tcPr>
          <w:p>
            <w:pPr>
              <w:jc w:val="center"/>
            </w:pPr>
            <w:r/>
            <w:r>
              <w:rPr>
                <w:rFonts w:ascii="Times New Roman" w:hAnsi="Times New Roman"/>
                <w:b w:val="0"/>
                <w:i w:val="0"/>
                <w:sz w:val="20"/>
              </w:rPr>
              <w:t>%41.2</w:t>
            </w:r>
          </w:p>
        </w:tc>
        <w:tc>
          <w:tcPr>
            <w:tcW w:type="dxa" w:w="1296"/>
            <w:vAlign w:val="center"/>
          </w:tcPr>
          <w:p>
            <w:pPr>
              <w:jc w:val="center"/>
            </w:pPr>
            <w:r/>
            <w:r>
              <w:rPr>
                <w:rFonts w:ascii="Times New Roman" w:hAnsi="Times New Roman"/>
                <w:b w:val="0"/>
                <w:i w:val="0"/>
                <w:sz w:val="20"/>
              </w:rPr>
              <w:t>%40.3</w:t>
            </w:r>
          </w:p>
        </w:tc>
        <w:tc>
          <w:tcPr>
            <w:tcW w:type="dxa" w:w="1296"/>
            <w:vAlign w:val="center"/>
          </w:tcPr>
          <w:p>
            <w:pPr>
              <w:jc w:val="center"/>
            </w:pPr>
            <w:r/>
            <w:r>
              <w:rPr>
                <w:rFonts w:ascii="Times New Roman" w:hAnsi="Times New Roman"/>
                <w:b w:val="0"/>
                <w:i w:val="0"/>
                <w:sz w:val="20"/>
              </w:rPr>
              <w:t>+%0.9</w:t>
            </w:r>
          </w:p>
        </w:tc>
      </w:tr>
      <w:tr>
        <w:tc>
          <w:tcPr>
            <w:tcW w:type="dxa" w:w="1296"/>
            <w:vAlign w:val="center"/>
          </w:tcPr>
          <w:p>
            <w:pPr>
              <w:jc w:val="center"/>
            </w:pPr>
            <w:r/>
            <w:r>
              <w:rPr>
                <w:rFonts w:ascii="Times New Roman" w:hAnsi="Times New Roman"/>
                <w:b w:val="0"/>
                <w:i w:val="0"/>
                <w:sz w:val="20"/>
              </w:rPr>
              <w:t>LightGBM</w:t>
            </w:r>
          </w:p>
        </w:tc>
        <w:tc>
          <w:tcPr>
            <w:tcW w:type="dxa" w:w="1296"/>
            <w:vAlign w:val="center"/>
          </w:tcPr>
          <w:p>
            <w:pPr>
              <w:jc w:val="center"/>
            </w:pPr>
            <w:r/>
            <w:r>
              <w:rPr>
                <w:rFonts w:ascii="Times New Roman" w:hAnsi="Times New Roman"/>
                <w:b w:val="0"/>
                <w:i w:val="0"/>
                <w:sz w:val="20"/>
              </w:rPr>
              <w:t>0.8410</w:t>
            </w:r>
          </w:p>
        </w:tc>
        <w:tc>
          <w:tcPr>
            <w:tcW w:type="dxa" w:w="1296"/>
            <w:vAlign w:val="center"/>
          </w:tcPr>
          <w:p>
            <w:pPr>
              <w:jc w:val="center"/>
            </w:pPr>
            <w:r/>
            <w:r>
              <w:rPr>
                <w:rFonts w:ascii="Times New Roman" w:hAnsi="Times New Roman"/>
                <w:b w:val="0"/>
                <w:i w:val="0"/>
                <w:sz w:val="20"/>
              </w:rPr>
              <w:t>0.8201</w:t>
            </w:r>
          </w:p>
        </w:tc>
        <w:tc>
          <w:tcPr>
            <w:tcW w:type="dxa" w:w="1296"/>
            <w:vAlign w:val="center"/>
          </w:tcPr>
          <w:p>
            <w:pPr>
              <w:jc w:val="center"/>
            </w:pPr>
            <w:r/>
            <w:r>
              <w:rPr>
                <w:rFonts w:ascii="Times New Roman" w:hAnsi="Times New Roman"/>
                <w:b w:val="0"/>
                <w:i w:val="0"/>
                <w:sz w:val="20"/>
              </w:rPr>
              <w:t>+0.0209</w:t>
            </w:r>
          </w:p>
        </w:tc>
        <w:tc>
          <w:tcPr>
            <w:tcW w:type="dxa" w:w="1296"/>
            <w:vAlign w:val="center"/>
          </w:tcPr>
          <w:p>
            <w:pPr>
              <w:jc w:val="center"/>
            </w:pPr>
            <w:r/>
            <w:r>
              <w:rPr>
                <w:rFonts w:ascii="Times New Roman" w:hAnsi="Times New Roman"/>
                <w:b w:val="0"/>
                <w:i w:val="0"/>
                <w:sz w:val="20"/>
              </w:rPr>
              <w:t>%40.8</w:t>
            </w:r>
          </w:p>
        </w:tc>
        <w:tc>
          <w:tcPr>
            <w:tcW w:type="dxa" w:w="1296"/>
            <w:vAlign w:val="center"/>
          </w:tcPr>
          <w:p>
            <w:pPr>
              <w:jc w:val="center"/>
            </w:pPr>
            <w:r/>
            <w:r>
              <w:rPr>
                <w:rFonts w:ascii="Times New Roman" w:hAnsi="Times New Roman"/>
                <w:b w:val="0"/>
                <w:i w:val="0"/>
                <w:sz w:val="20"/>
              </w:rPr>
              <w:t>%40.3</w:t>
            </w:r>
          </w:p>
        </w:tc>
        <w:tc>
          <w:tcPr>
            <w:tcW w:type="dxa" w:w="1296"/>
            <w:vAlign w:val="center"/>
          </w:tcPr>
          <w:p>
            <w:pPr>
              <w:jc w:val="center"/>
            </w:pPr>
            <w:r/>
            <w:r>
              <w:rPr>
                <w:rFonts w:ascii="Times New Roman" w:hAnsi="Times New Roman"/>
                <w:b w:val="0"/>
                <w:i w:val="0"/>
                <w:sz w:val="20"/>
              </w:rPr>
              <w:t>+%0.6</w:t>
            </w:r>
          </w:p>
        </w:tc>
      </w:tr>
      <w:tr>
        <w:tc>
          <w:tcPr>
            <w:tcW w:type="dxa" w:w="1296"/>
            <w:vAlign w:val="center"/>
          </w:tcPr>
          <w:p>
            <w:pPr>
              <w:jc w:val="center"/>
            </w:pPr>
            <w:r/>
            <w:r>
              <w:rPr>
                <w:rFonts w:ascii="Times New Roman" w:hAnsi="Times New Roman"/>
                <w:b w:val="0"/>
                <w:i w:val="0"/>
                <w:sz w:val="20"/>
              </w:rPr>
              <w:t>XGBoost</w:t>
            </w:r>
          </w:p>
        </w:tc>
        <w:tc>
          <w:tcPr>
            <w:tcW w:type="dxa" w:w="1296"/>
            <w:vAlign w:val="center"/>
          </w:tcPr>
          <w:p>
            <w:pPr>
              <w:jc w:val="center"/>
            </w:pPr>
            <w:r/>
            <w:r>
              <w:rPr>
                <w:rFonts w:ascii="Times New Roman" w:hAnsi="Times New Roman"/>
                <w:b w:val="0"/>
                <w:i w:val="0"/>
                <w:sz w:val="20"/>
              </w:rPr>
              <w:t>0.8404</w:t>
            </w:r>
          </w:p>
        </w:tc>
        <w:tc>
          <w:tcPr>
            <w:tcW w:type="dxa" w:w="1296"/>
            <w:vAlign w:val="center"/>
          </w:tcPr>
          <w:p>
            <w:pPr>
              <w:jc w:val="center"/>
            </w:pPr>
            <w:r/>
            <w:r>
              <w:rPr>
                <w:rFonts w:ascii="Times New Roman" w:hAnsi="Times New Roman"/>
                <w:b w:val="0"/>
                <w:i w:val="0"/>
                <w:sz w:val="20"/>
              </w:rPr>
              <w:t>0.8189</w:t>
            </w:r>
          </w:p>
        </w:tc>
        <w:tc>
          <w:tcPr>
            <w:tcW w:type="dxa" w:w="1296"/>
            <w:vAlign w:val="center"/>
          </w:tcPr>
          <w:p>
            <w:pPr>
              <w:jc w:val="center"/>
            </w:pPr>
            <w:r/>
            <w:r>
              <w:rPr>
                <w:rFonts w:ascii="Times New Roman" w:hAnsi="Times New Roman"/>
                <w:b w:val="0"/>
                <w:i w:val="0"/>
                <w:sz w:val="20"/>
              </w:rPr>
              <w:t>+0.0215</w:t>
            </w:r>
          </w:p>
        </w:tc>
        <w:tc>
          <w:tcPr>
            <w:tcW w:type="dxa" w:w="1296"/>
            <w:vAlign w:val="center"/>
          </w:tcPr>
          <w:p>
            <w:pPr>
              <w:jc w:val="center"/>
            </w:pPr>
            <w:r/>
            <w:r>
              <w:rPr>
                <w:rFonts w:ascii="Times New Roman" w:hAnsi="Times New Roman"/>
                <w:b w:val="0"/>
                <w:i w:val="0"/>
                <w:sz w:val="20"/>
              </w:rPr>
              <w:t>%41.1</w:t>
            </w:r>
          </w:p>
        </w:tc>
        <w:tc>
          <w:tcPr>
            <w:tcW w:type="dxa" w:w="1296"/>
            <w:vAlign w:val="center"/>
          </w:tcPr>
          <w:p>
            <w:pPr>
              <w:jc w:val="center"/>
            </w:pPr>
            <w:r/>
            <w:r>
              <w:rPr>
                <w:rFonts w:ascii="Times New Roman" w:hAnsi="Times New Roman"/>
                <w:b w:val="0"/>
                <w:i w:val="0"/>
                <w:sz w:val="20"/>
              </w:rPr>
              <w:t>%38.9</w:t>
            </w:r>
          </w:p>
        </w:tc>
        <w:tc>
          <w:tcPr>
            <w:tcW w:type="dxa" w:w="1296"/>
            <w:vAlign w:val="center"/>
          </w:tcPr>
          <w:p>
            <w:pPr>
              <w:jc w:val="center"/>
            </w:pPr>
            <w:r/>
            <w:r>
              <w:rPr>
                <w:rFonts w:ascii="Times New Roman" w:hAnsi="Times New Roman"/>
                <w:b w:val="0"/>
                <w:i w:val="0"/>
                <w:sz w:val="20"/>
              </w:rPr>
              <w:t>+%2.2</w:t>
            </w:r>
          </w:p>
        </w:tc>
      </w:tr>
      <w:tr>
        <w:tc>
          <w:tcPr>
            <w:tcW w:type="dxa" w:w="1296"/>
            <w:vAlign w:val="center"/>
          </w:tcPr>
          <w:p>
            <w:pPr>
              <w:jc w:val="center"/>
            </w:pPr>
            <w:r/>
            <w:r>
              <w:rPr>
                <w:rFonts w:ascii="Times New Roman" w:hAnsi="Times New Roman"/>
                <w:b w:val="0"/>
                <w:i w:val="0"/>
                <w:sz w:val="20"/>
              </w:rPr>
              <w:t>StackingEnsemble</w:t>
            </w:r>
          </w:p>
        </w:tc>
        <w:tc>
          <w:tcPr>
            <w:tcW w:type="dxa" w:w="1296"/>
            <w:vAlign w:val="center"/>
          </w:tcPr>
          <w:p>
            <w:pPr>
              <w:jc w:val="center"/>
            </w:pPr>
            <w:r/>
            <w:r>
              <w:rPr>
                <w:rFonts w:ascii="Times New Roman" w:hAnsi="Times New Roman"/>
                <w:b w:val="0"/>
                <w:i w:val="0"/>
                <w:sz w:val="20"/>
              </w:rPr>
              <w:t>0.8391</w:t>
            </w:r>
          </w:p>
        </w:tc>
        <w:tc>
          <w:tcPr>
            <w:tcW w:type="dxa" w:w="1296"/>
            <w:vAlign w:val="center"/>
          </w:tcPr>
          <w:p>
            <w:pPr>
              <w:jc w:val="center"/>
            </w:pPr>
            <w:r/>
            <w:r>
              <w:rPr>
                <w:rFonts w:ascii="Times New Roman" w:hAnsi="Times New Roman"/>
                <w:b w:val="0"/>
                <w:i w:val="0"/>
                <w:sz w:val="20"/>
              </w:rPr>
              <w:t>0.8183</w:t>
            </w:r>
          </w:p>
        </w:tc>
        <w:tc>
          <w:tcPr>
            <w:tcW w:type="dxa" w:w="1296"/>
            <w:vAlign w:val="center"/>
          </w:tcPr>
          <w:p>
            <w:pPr>
              <w:jc w:val="center"/>
            </w:pPr>
            <w:r/>
            <w:r>
              <w:rPr>
                <w:rFonts w:ascii="Times New Roman" w:hAnsi="Times New Roman"/>
                <w:b w:val="0"/>
                <w:i w:val="0"/>
                <w:sz w:val="20"/>
              </w:rPr>
              <w:t>+0.0208</w:t>
            </w:r>
          </w:p>
        </w:tc>
        <w:tc>
          <w:tcPr>
            <w:tcW w:type="dxa" w:w="1296"/>
            <w:vAlign w:val="center"/>
          </w:tcPr>
          <w:p>
            <w:pPr>
              <w:jc w:val="center"/>
            </w:pPr>
            <w:r/>
            <w:r>
              <w:rPr>
                <w:rFonts w:ascii="Times New Roman" w:hAnsi="Times New Roman"/>
                <w:b w:val="0"/>
                <w:i w:val="0"/>
                <w:sz w:val="20"/>
              </w:rPr>
              <w:t>%40.6</w:t>
            </w:r>
          </w:p>
        </w:tc>
        <w:tc>
          <w:tcPr>
            <w:tcW w:type="dxa" w:w="1296"/>
            <w:vAlign w:val="center"/>
          </w:tcPr>
          <w:p>
            <w:pPr>
              <w:jc w:val="center"/>
            </w:pPr>
            <w:r/>
            <w:r>
              <w:rPr>
                <w:rFonts w:ascii="Times New Roman" w:hAnsi="Times New Roman"/>
                <w:b w:val="0"/>
                <w:i w:val="0"/>
                <w:sz w:val="20"/>
              </w:rPr>
              <w:t>%39.7</w:t>
            </w:r>
          </w:p>
        </w:tc>
        <w:tc>
          <w:tcPr>
            <w:tcW w:type="dxa" w:w="1296"/>
            <w:vAlign w:val="center"/>
          </w:tcPr>
          <w:p>
            <w:pPr>
              <w:jc w:val="center"/>
            </w:pPr>
            <w:r/>
            <w:r>
              <w:rPr>
                <w:rFonts w:ascii="Times New Roman" w:hAnsi="Times New Roman"/>
                <w:b w:val="0"/>
                <w:i w:val="0"/>
                <w:sz w:val="20"/>
              </w:rPr>
              <w:t>+%1.0</w:t>
            </w:r>
          </w:p>
        </w:tc>
      </w:tr>
      <w:tr>
        <w:tc>
          <w:tcPr>
            <w:tcW w:type="dxa" w:w="1296"/>
            <w:vAlign w:val="center"/>
          </w:tcPr>
          <w:p>
            <w:pPr>
              <w:jc w:val="center"/>
            </w:pPr>
            <w:r/>
            <w:r>
              <w:rPr>
                <w:rFonts w:ascii="Times New Roman" w:hAnsi="Times New Roman"/>
                <w:b w:val="0"/>
                <w:i w:val="0"/>
                <w:sz w:val="20"/>
              </w:rPr>
              <w:t>BaggingLGBM</w:t>
            </w:r>
          </w:p>
        </w:tc>
        <w:tc>
          <w:tcPr>
            <w:tcW w:type="dxa" w:w="1296"/>
            <w:vAlign w:val="center"/>
          </w:tcPr>
          <w:p>
            <w:pPr>
              <w:jc w:val="center"/>
            </w:pPr>
            <w:r/>
            <w:r>
              <w:rPr>
                <w:rFonts w:ascii="Times New Roman" w:hAnsi="Times New Roman"/>
                <w:b w:val="0"/>
                <w:i w:val="0"/>
                <w:sz w:val="20"/>
              </w:rPr>
              <w:t>0.8387</w:t>
            </w:r>
          </w:p>
        </w:tc>
        <w:tc>
          <w:tcPr>
            <w:tcW w:type="dxa" w:w="1296"/>
            <w:vAlign w:val="center"/>
          </w:tcPr>
          <w:p>
            <w:pPr>
              <w:jc w:val="center"/>
            </w:pPr>
            <w:r/>
            <w:r>
              <w:rPr>
                <w:rFonts w:ascii="Times New Roman" w:hAnsi="Times New Roman"/>
                <w:b w:val="0"/>
                <w:i w:val="0"/>
                <w:sz w:val="20"/>
              </w:rPr>
              <w:t>0.8163</w:t>
            </w:r>
          </w:p>
        </w:tc>
        <w:tc>
          <w:tcPr>
            <w:tcW w:type="dxa" w:w="1296"/>
            <w:vAlign w:val="center"/>
          </w:tcPr>
          <w:p>
            <w:pPr>
              <w:jc w:val="center"/>
            </w:pPr>
            <w:r/>
            <w:r>
              <w:rPr>
                <w:rFonts w:ascii="Times New Roman" w:hAnsi="Times New Roman"/>
                <w:b w:val="0"/>
                <w:i w:val="0"/>
                <w:sz w:val="20"/>
              </w:rPr>
              <w:t>+0.0224</w:t>
            </w:r>
          </w:p>
        </w:tc>
        <w:tc>
          <w:tcPr>
            <w:tcW w:type="dxa" w:w="1296"/>
            <w:vAlign w:val="center"/>
          </w:tcPr>
          <w:p>
            <w:pPr>
              <w:jc w:val="center"/>
            </w:pPr>
            <w:r/>
            <w:r>
              <w:rPr>
                <w:rFonts w:ascii="Times New Roman" w:hAnsi="Times New Roman"/>
                <w:b w:val="0"/>
                <w:i w:val="0"/>
                <w:sz w:val="20"/>
              </w:rPr>
              <w:t>%40.4</w:t>
            </w:r>
          </w:p>
        </w:tc>
        <w:tc>
          <w:tcPr>
            <w:tcW w:type="dxa" w:w="1296"/>
            <w:vAlign w:val="center"/>
          </w:tcPr>
          <w:p>
            <w:pPr>
              <w:jc w:val="center"/>
            </w:pPr>
            <w:r/>
            <w:r>
              <w:rPr>
                <w:rFonts w:ascii="Times New Roman" w:hAnsi="Times New Roman"/>
                <w:b w:val="0"/>
                <w:i w:val="0"/>
                <w:sz w:val="20"/>
              </w:rPr>
              <w:t>%39.4</w:t>
            </w:r>
          </w:p>
        </w:tc>
        <w:tc>
          <w:tcPr>
            <w:tcW w:type="dxa" w:w="1296"/>
            <w:vAlign w:val="center"/>
          </w:tcPr>
          <w:p>
            <w:pPr>
              <w:jc w:val="center"/>
            </w:pPr>
            <w:r/>
            <w:r>
              <w:rPr>
                <w:rFonts w:ascii="Times New Roman" w:hAnsi="Times New Roman"/>
                <w:b w:val="0"/>
                <w:i w:val="0"/>
                <w:sz w:val="20"/>
              </w:rPr>
              <w:t>+%1.0</w:t>
            </w:r>
          </w:p>
        </w:tc>
      </w:tr>
      <w:tr>
        <w:tc>
          <w:tcPr>
            <w:tcW w:type="dxa" w:w="1296"/>
            <w:vAlign w:val="center"/>
          </w:tcPr>
          <w:p>
            <w:pPr>
              <w:jc w:val="center"/>
            </w:pPr>
            <w:r/>
            <w:r>
              <w:rPr>
                <w:rFonts w:ascii="Times New Roman" w:hAnsi="Times New Roman"/>
                <w:b w:val="0"/>
                <w:i w:val="0"/>
                <w:sz w:val="20"/>
              </w:rPr>
              <w:t>GradientBoosting</w:t>
            </w:r>
          </w:p>
        </w:tc>
        <w:tc>
          <w:tcPr>
            <w:tcW w:type="dxa" w:w="1296"/>
            <w:vAlign w:val="center"/>
          </w:tcPr>
          <w:p>
            <w:pPr>
              <w:jc w:val="center"/>
            </w:pPr>
            <w:r/>
            <w:r>
              <w:rPr>
                <w:rFonts w:ascii="Times New Roman" w:hAnsi="Times New Roman"/>
                <w:b w:val="0"/>
                <w:i w:val="0"/>
                <w:sz w:val="20"/>
              </w:rPr>
              <w:t>0.8324</w:t>
            </w:r>
          </w:p>
        </w:tc>
        <w:tc>
          <w:tcPr>
            <w:tcW w:type="dxa" w:w="1296"/>
            <w:vAlign w:val="center"/>
          </w:tcPr>
          <w:p>
            <w:pPr>
              <w:jc w:val="center"/>
            </w:pPr>
            <w:r/>
            <w:r>
              <w:rPr>
                <w:rFonts w:ascii="Times New Roman" w:hAnsi="Times New Roman"/>
                <w:b w:val="0"/>
                <w:i w:val="0"/>
                <w:sz w:val="20"/>
              </w:rPr>
              <w:t>0.8053</w:t>
            </w:r>
          </w:p>
        </w:tc>
        <w:tc>
          <w:tcPr>
            <w:tcW w:type="dxa" w:w="1296"/>
            <w:vAlign w:val="center"/>
          </w:tcPr>
          <w:p>
            <w:pPr>
              <w:jc w:val="center"/>
            </w:pPr>
            <w:r/>
            <w:r>
              <w:rPr>
                <w:rFonts w:ascii="Times New Roman" w:hAnsi="Times New Roman"/>
                <w:b w:val="0"/>
                <w:i w:val="0"/>
                <w:sz w:val="20"/>
              </w:rPr>
              <w:t>+0.0271</w:t>
            </w:r>
          </w:p>
        </w:tc>
        <w:tc>
          <w:tcPr>
            <w:tcW w:type="dxa" w:w="1296"/>
            <w:vAlign w:val="center"/>
          </w:tcPr>
          <w:p>
            <w:pPr>
              <w:jc w:val="center"/>
            </w:pPr>
            <w:r/>
            <w:r>
              <w:rPr>
                <w:rFonts w:ascii="Times New Roman" w:hAnsi="Times New Roman"/>
                <w:b w:val="0"/>
                <w:i w:val="0"/>
                <w:sz w:val="20"/>
              </w:rPr>
              <w:t>%40.4</w:t>
            </w:r>
          </w:p>
        </w:tc>
        <w:tc>
          <w:tcPr>
            <w:tcW w:type="dxa" w:w="1296"/>
            <w:vAlign w:val="center"/>
          </w:tcPr>
          <w:p>
            <w:pPr>
              <w:jc w:val="center"/>
            </w:pPr>
            <w:r/>
            <w:r>
              <w:rPr>
                <w:rFonts w:ascii="Times New Roman" w:hAnsi="Times New Roman"/>
                <w:b w:val="0"/>
                <w:i w:val="0"/>
                <w:sz w:val="20"/>
              </w:rPr>
              <w:t>%37.6</w:t>
            </w:r>
          </w:p>
        </w:tc>
        <w:tc>
          <w:tcPr>
            <w:tcW w:type="dxa" w:w="1296"/>
            <w:vAlign w:val="center"/>
          </w:tcPr>
          <w:p>
            <w:pPr>
              <w:jc w:val="center"/>
            </w:pPr>
            <w:r/>
            <w:r>
              <w:rPr>
                <w:rFonts w:ascii="Times New Roman" w:hAnsi="Times New Roman"/>
                <w:b w:val="0"/>
                <w:i w:val="0"/>
                <w:sz w:val="20"/>
              </w:rPr>
              <w:t>+%2.7</w:t>
            </w:r>
          </w:p>
        </w:tc>
      </w:tr>
      <w:tr>
        <w:tc>
          <w:tcPr>
            <w:tcW w:type="dxa" w:w="1296"/>
            <w:vAlign w:val="center"/>
          </w:tcPr>
          <w:p>
            <w:pPr>
              <w:jc w:val="center"/>
            </w:pPr>
            <w:r/>
            <w:r>
              <w:rPr>
                <w:rFonts w:ascii="Times New Roman" w:hAnsi="Times New Roman"/>
                <w:b w:val="0"/>
                <w:i w:val="0"/>
                <w:sz w:val="20"/>
              </w:rPr>
              <w:t>LogisticRegression</w:t>
            </w:r>
          </w:p>
        </w:tc>
        <w:tc>
          <w:tcPr>
            <w:tcW w:type="dxa" w:w="1296"/>
            <w:vAlign w:val="center"/>
          </w:tcPr>
          <w:p>
            <w:pPr>
              <w:jc w:val="center"/>
            </w:pPr>
            <w:r/>
            <w:r>
              <w:rPr>
                <w:rFonts w:ascii="Times New Roman" w:hAnsi="Times New Roman"/>
                <w:b w:val="0"/>
                <w:i w:val="0"/>
                <w:sz w:val="20"/>
              </w:rPr>
              <w:t>0.8243</w:t>
            </w:r>
          </w:p>
        </w:tc>
        <w:tc>
          <w:tcPr>
            <w:tcW w:type="dxa" w:w="1296"/>
            <w:vAlign w:val="center"/>
          </w:tcPr>
          <w:p>
            <w:pPr>
              <w:jc w:val="center"/>
            </w:pPr>
            <w:r/>
            <w:r>
              <w:rPr>
                <w:rFonts w:ascii="Times New Roman" w:hAnsi="Times New Roman"/>
                <w:b w:val="0"/>
                <w:i w:val="0"/>
                <w:sz w:val="20"/>
              </w:rPr>
              <w:t>0.7949</w:t>
            </w:r>
          </w:p>
        </w:tc>
        <w:tc>
          <w:tcPr>
            <w:tcW w:type="dxa" w:w="1296"/>
            <w:vAlign w:val="center"/>
          </w:tcPr>
          <w:p>
            <w:pPr>
              <w:jc w:val="center"/>
            </w:pPr>
            <w:r/>
            <w:r>
              <w:rPr>
                <w:rFonts w:ascii="Times New Roman" w:hAnsi="Times New Roman"/>
                <w:b w:val="0"/>
                <w:i w:val="0"/>
                <w:sz w:val="20"/>
              </w:rPr>
              <w:t>+0.0294</w:t>
            </w:r>
          </w:p>
        </w:tc>
        <w:tc>
          <w:tcPr>
            <w:tcW w:type="dxa" w:w="1296"/>
            <w:vAlign w:val="center"/>
          </w:tcPr>
          <w:p>
            <w:pPr>
              <w:jc w:val="center"/>
            </w:pPr>
            <w:r/>
            <w:r>
              <w:rPr>
                <w:rFonts w:ascii="Times New Roman" w:hAnsi="Times New Roman"/>
                <w:b w:val="0"/>
                <w:i w:val="0"/>
                <w:sz w:val="20"/>
              </w:rPr>
              <w:t>%38.6</w:t>
            </w:r>
          </w:p>
        </w:tc>
        <w:tc>
          <w:tcPr>
            <w:tcW w:type="dxa" w:w="1296"/>
            <w:vAlign w:val="center"/>
          </w:tcPr>
          <w:p>
            <w:pPr>
              <w:jc w:val="center"/>
            </w:pPr>
            <w:r/>
            <w:r>
              <w:rPr>
                <w:rFonts w:ascii="Times New Roman" w:hAnsi="Times New Roman"/>
                <w:b w:val="0"/>
                <w:i w:val="0"/>
                <w:sz w:val="20"/>
              </w:rPr>
              <w:t>%36.0</w:t>
            </w:r>
          </w:p>
        </w:tc>
        <w:tc>
          <w:tcPr>
            <w:tcW w:type="dxa" w:w="1296"/>
            <w:vAlign w:val="center"/>
          </w:tcPr>
          <w:p>
            <w:pPr>
              <w:jc w:val="center"/>
            </w:pPr>
            <w:r/>
            <w:r>
              <w:rPr>
                <w:rFonts w:ascii="Times New Roman" w:hAnsi="Times New Roman"/>
                <w:b w:val="0"/>
                <w:i w:val="0"/>
                <w:sz w:val="20"/>
              </w:rPr>
              <w:t>+%2.7</w:t>
            </w:r>
          </w:p>
        </w:tc>
      </w:tr>
      <w:tr>
        <w:tc>
          <w:tcPr>
            <w:tcW w:type="dxa" w:w="1296"/>
            <w:vAlign w:val="center"/>
          </w:tcPr>
          <w:p>
            <w:pPr>
              <w:jc w:val="center"/>
            </w:pPr>
            <w:r/>
            <w:r>
              <w:rPr>
                <w:rFonts w:ascii="Times New Roman" w:hAnsi="Times New Roman"/>
                <w:b w:val="0"/>
                <w:i w:val="0"/>
                <w:sz w:val="20"/>
              </w:rPr>
              <w:t>RandomForest</w:t>
            </w:r>
          </w:p>
        </w:tc>
        <w:tc>
          <w:tcPr>
            <w:tcW w:type="dxa" w:w="1296"/>
            <w:vAlign w:val="center"/>
          </w:tcPr>
          <w:p>
            <w:pPr>
              <w:jc w:val="center"/>
            </w:pPr>
            <w:r/>
            <w:r>
              <w:rPr>
                <w:rFonts w:ascii="Times New Roman" w:hAnsi="Times New Roman"/>
                <w:b w:val="0"/>
                <w:i w:val="0"/>
                <w:sz w:val="20"/>
              </w:rPr>
              <w:t>0.8195</w:t>
            </w:r>
          </w:p>
        </w:tc>
        <w:tc>
          <w:tcPr>
            <w:tcW w:type="dxa" w:w="1296"/>
            <w:vAlign w:val="center"/>
          </w:tcPr>
          <w:p>
            <w:pPr>
              <w:jc w:val="center"/>
            </w:pPr>
            <w:r/>
            <w:r>
              <w:rPr>
                <w:rFonts w:ascii="Times New Roman" w:hAnsi="Times New Roman"/>
                <w:b w:val="0"/>
                <w:i w:val="0"/>
                <w:sz w:val="20"/>
              </w:rPr>
              <w:t>0.7799</w:t>
            </w:r>
          </w:p>
        </w:tc>
        <w:tc>
          <w:tcPr>
            <w:tcW w:type="dxa" w:w="1296"/>
            <w:vAlign w:val="center"/>
          </w:tcPr>
          <w:p>
            <w:pPr>
              <w:jc w:val="center"/>
            </w:pPr>
            <w:r/>
            <w:r>
              <w:rPr>
                <w:rFonts w:ascii="Times New Roman" w:hAnsi="Times New Roman"/>
                <w:b w:val="0"/>
                <w:i w:val="0"/>
                <w:sz w:val="20"/>
              </w:rPr>
              <w:t>+0.0396</w:t>
            </w:r>
          </w:p>
        </w:tc>
        <w:tc>
          <w:tcPr>
            <w:tcW w:type="dxa" w:w="1296"/>
            <w:vAlign w:val="center"/>
          </w:tcPr>
          <w:p>
            <w:pPr>
              <w:jc w:val="center"/>
            </w:pPr>
            <w:r/>
            <w:r>
              <w:rPr>
                <w:rFonts w:ascii="Times New Roman" w:hAnsi="Times New Roman"/>
                <w:b w:val="0"/>
                <w:i w:val="0"/>
                <w:sz w:val="20"/>
              </w:rPr>
              <w:t>%37.5</w:t>
            </w:r>
          </w:p>
        </w:tc>
        <w:tc>
          <w:tcPr>
            <w:tcW w:type="dxa" w:w="1296"/>
            <w:vAlign w:val="center"/>
          </w:tcPr>
          <w:p>
            <w:pPr>
              <w:jc w:val="center"/>
            </w:pPr>
            <w:r/>
            <w:r>
              <w:rPr>
                <w:rFonts w:ascii="Times New Roman" w:hAnsi="Times New Roman"/>
                <w:b w:val="0"/>
                <w:i w:val="0"/>
                <w:sz w:val="20"/>
              </w:rPr>
              <w:t>%34.3</w:t>
            </w:r>
          </w:p>
        </w:tc>
        <w:tc>
          <w:tcPr>
            <w:tcW w:type="dxa" w:w="1296"/>
            <w:vAlign w:val="center"/>
          </w:tcPr>
          <w:p>
            <w:pPr>
              <w:jc w:val="center"/>
            </w:pPr>
            <w:r/>
            <w:r>
              <w:rPr>
                <w:rFonts w:ascii="Times New Roman" w:hAnsi="Times New Roman"/>
                <w:b w:val="0"/>
                <w:i w:val="0"/>
                <w:sz w:val="20"/>
              </w:rPr>
              <w:t>+%3.3</w:t>
            </w:r>
          </w:p>
        </w:tc>
      </w:tr>
    </w:tbl>
    <w:p/>
    <w:p>
      <w:pPr>
        <w:spacing w:after="200"/>
        <w:jc w:val="both"/>
      </w:pPr>
      <w:r>
        <w:rPr>
          <w:rFonts w:ascii="Times New Roman" w:hAnsi="Times New Roman"/>
          <w:b w:val="0"/>
          <w:i/>
          <w:sz w:val="20"/>
        </w:rPr>
        <w:t>Ortalama ΔAUC (Is_Winner): +0.0252 (piyasa sinyalinin ortalama katkısı).</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9072"/>
            <w:gridSpan w:val="7"/>
            <w:vAlign w:val="center"/>
          </w:tcPr>
          <w:p>
            <w:pPr>
              <w:jc w:val="center"/>
            </w:pPr>
            <w:r/>
            <w:r>
              <w:rPr>
                <w:rFonts w:ascii="Times New Roman" w:hAnsi="Times New Roman"/>
                <w:b/>
                <w:i w:val="0"/>
                <w:sz w:val="22"/>
              </w:rPr>
              <w:t>Tablo 6: Piyasa Sinyali Ablasyonu — Tabela Tahmini (Is_Top3)</w:t>
            </w:r>
          </w:p>
        </w:tc>
      </w:tr>
      <w:tr>
        <w:tc>
          <w:tcPr>
            <w:tcW w:type="dxa" w:w="1296"/>
            <w:vAlign w:val="center"/>
          </w:tcPr>
          <w:p>
            <w:pPr>
              <w:jc w:val="center"/>
            </w:pPr>
            <w:r/>
            <w:r>
              <w:rPr>
                <w:rFonts w:ascii="Times New Roman" w:hAnsi="Times New Roman"/>
                <w:b/>
                <w:i w:val="0"/>
                <w:sz w:val="20"/>
              </w:rPr>
              <w:t>Model</w:t>
            </w:r>
          </w:p>
        </w:tc>
        <w:tc>
          <w:tcPr>
            <w:tcW w:type="dxa" w:w="1296"/>
            <w:vAlign w:val="center"/>
          </w:tcPr>
          <w:p>
            <w:pPr>
              <w:jc w:val="center"/>
            </w:pPr>
            <w:r/>
            <w:r>
              <w:rPr>
                <w:rFonts w:ascii="Times New Roman" w:hAnsi="Times New Roman"/>
                <w:b/>
                <w:i w:val="0"/>
                <w:sz w:val="20"/>
              </w:rPr>
              <w:t>AUC (tam)</w:t>
            </w:r>
          </w:p>
        </w:tc>
        <w:tc>
          <w:tcPr>
            <w:tcW w:type="dxa" w:w="1296"/>
            <w:vAlign w:val="center"/>
          </w:tcPr>
          <w:p>
            <w:pPr>
              <w:jc w:val="center"/>
            </w:pPr>
            <w:r/>
            <w:r>
              <w:rPr>
                <w:rFonts w:ascii="Times New Roman" w:hAnsi="Times New Roman"/>
                <w:b/>
                <w:i w:val="0"/>
                <w:sz w:val="20"/>
              </w:rPr>
              <w:t>AUC (Ganyansız)</w:t>
            </w:r>
          </w:p>
        </w:tc>
        <w:tc>
          <w:tcPr>
            <w:tcW w:type="dxa" w:w="1296"/>
            <w:vAlign w:val="center"/>
          </w:tcPr>
          <w:p>
            <w:pPr>
              <w:jc w:val="center"/>
            </w:pPr>
            <w:r/>
            <w:r>
              <w:rPr>
                <w:rFonts w:ascii="Times New Roman" w:hAnsi="Times New Roman"/>
                <w:b/>
                <w:i w:val="0"/>
                <w:sz w:val="20"/>
              </w:rPr>
              <w:t>ΔAUC</w:t>
            </w:r>
          </w:p>
        </w:tc>
        <w:tc>
          <w:tcPr>
            <w:tcW w:type="dxa" w:w="1296"/>
            <w:vAlign w:val="center"/>
          </w:tcPr>
          <w:p>
            <w:pPr>
              <w:jc w:val="center"/>
            </w:pPr>
            <w:r/>
            <w:r>
              <w:rPr>
                <w:rFonts w:ascii="Times New Roman" w:hAnsi="Times New Roman"/>
                <w:b/>
                <w:i w:val="0"/>
                <w:sz w:val="20"/>
              </w:rPr>
              <w:t>P@1 (tam)</w:t>
            </w:r>
          </w:p>
        </w:tc>
        <w:tc>
          <w:tcPr>
            <w:tcW w:type="dxa" w:w="1296"/>
            <w:vAlign w:val="center"/>
          </w:tcPr>
          <w:p>
            <w:pPr>
              <w:jc w:val="center"/>
            </w:pPr>
            <w:r/>
            <w:r>
              <w:rPr>
                <w:rFonts w:ascii="Times New Roman" w:hAnsi="Times New Roman"/>
                <w:b/>
                <w:i w:val="0"/>
                <w:sz w:val="20"/>
              </w:rPr>
              <w:t>P@1 (Ganyansız)</w:t>
            </w:r>
          </w:p>
        </w:tc>
        <w:tc>
          <w:tcPr>
            <w:tcW w:type="dxa" w:w="1296"/>
            <w:vAlign w:val="center"/>
          </w:tcPr>
          <w:p>
            <w:pPr>
              <w:jc w:val="center"/>
            </w:pPr>
            <w:r/>
            <w:r>
              <w:rPr>
                <w:rFonts w:ascii="Times New Roman" w:hAnsi="Times New Roman"/>
                <w:b/>
                <w:i w:val="0"/>
                <w:sz w:val="20"/>
              </w:rPr>
              <w:t>ΔP@1</w:t>
            </w:r>
          </w:p>
        </w:tc>
      </w:tr>
      <w:tr>
        <w:tc>
          <w:tcPr>
            <w:tcW w:type="dxa" w:w="1296"/>
            <w:vAlign w:val="center"/>
          </w:tcPr>
          <w:p>
            <w:pPr>
              <w:jc w:val="center"/>
            </w:pPr>
            <w:r/>
            <w:r>
              <w:rPr>
                <w:rFonts w:ascii="Times New Roman" w:hAnsi="Times New Roman"/>
                <w:b w:val="0"/>
                <w:i w:val="0"/>
                <w:sz w:val="20"/>
              </w:rPr>
              <w:t>StackingEnsemble</w:t>
            </w:r>
          </w:p>
        </w:tc>
        <w:tc>
          <w:tcPr>
            <w:tcW w:type="dxa" w:w="1296"/>
            <w:vAlign w:val="center"/>
          </w:tcPr>
          <w:p>
            <w:pPr>
              <w:jc w:val="center"/>
            </w:pPr>
            <w:r/>
            <w:r>
              <w:rPr>
                <w:rFonts w:ascii="Times New Roman" w:hAnsi="Times New Roman"/>
                <w:b w:val="0"/>
                <w:i w:val="0"/>
                <w:sz w:val="20"/>
              </w:rPr>
              <w:t>0.8200</w:t>
            </w:r>
          </w:p>
        </w:tc>
        <w:tc>
          <w:tcPr>
            <w:tcW w:type="dxa" w:w="1296"/>
            <w:vAlign w:val="center"/>
          </w:tcPr>
          <w:p>
            <w:pPr>
              <w:jc w:val="center"/>
            </w:pPr>
            <w:r/>
            <w:r>
              <w:rPr>
                <w:rFonts w:ascii="Times New Roman" w:hAnsi="Times New Roman"/>
                <w:b w:val="0"/>
                <w:i w:val="0"/>
                <w:sz w:val="20"/>
              </w:rPr>
              <w:t>0.8007</w:t>
            </w:r>
          </w:p>
        </w:tc>
        <w:tc>
          <w:tcPr>
            <w:tcW w:type="dxa" w:w="1296"/>
            <w:vAlign w:val="center"/>
          </w:tcPr>
          <w:p>
            <w:pPr>
              <w:jc w:val="center"/>
            </w:pPr>
            <w:r/>
            <w:r>
              <w:rPr>
                <w:rFonts w:ascii="Times New Roman" w:hAnsi="Times New Roman"/>
                <w:b w:val="0"/>
                <w:i w:val="0"/>
                <w:sz w:val="20"/>
              </w:rPr>
              <w:t>+0.0193</w:t>
            </w:r>
          </w:p>
        </w:tc>
        <w:tc>
          <w:tcPr>
            <w:tcW w:type="dxa" w:w="1296"/>
            <w:vAlign w:val="center"/>
          </w:tcPr>
          <w:p>
            <w:pPr>
              <w:jc w:val="center"/>
            </w:pPr>
            <w:r/>
            <w:r>
              <w:rPr>
                <w:rFonts w:ascii="Times New Roman" w:hAnsi="Times New Roman"/>
                <w:b w:val="0"/>
                <w:i w:val="0"/>
                <w:sz w:val="20"/>
              </w:rPr>
              <w:t>%73.3</w:t>
            </w:r>
          </w:p>
        </w:tc>
        <w:tc>
          <w:tcPr>
            <w:tcW w:type="dxa" w:w="1296"/>
            <w:vAlign w:val="center"/>
          </w:tcPr>
          <w:p>
            <w:pPr>
              <w:jc w:val="center"/>
            </w:pPr>
            <w:r/>
            <w:r>
              <w:rPr>
                <w:rFonts w:ascii="Times New Roman" w:hAnsi="Times New Roman"/>
                <w:b w:val="0"/>
                <w:i w:val="0"/>
                <w:sz w:val="20"/>
              </w:rPr>
              <w:t>%69.9</w:t>
            </w:r>
          </w:p>
        </w:tc>
        <w:tc>
          <w:tcPr>
            <w:tcW w:type="dxa" w:w="1296"/>
            <w:vAlign w:val="center"/>
          </w:tcPr>
          <w:p>
            <w:pPr>
              <w:jc w:val="center"/>
            </w:pPr>
            <w:r/>
            <w:r>
              <w:rPr>
                <w:rFonts w:ascii="Times New Roman" w:hAnsi="Times New Roman"/>
                <w:b w:val="0"/>
                <w:i w:val="0"/>
                <w:sz w:val="20"/>
              </w:rPr>
              <w:t>+%3.4</w:t>
            </w:r>
          </w:p>
        </w:tc>
      </w:tr>
      <w:tr>
        <w:tc>
          <w:tcPr>
            <w:tcW w:type="dxa" w:w="1296"/>
            <w:vAlign w:val="center"/>
          </w:tcPr>
          <w:p>
            <w:pPr>
              <w:jc w:val="center"/>
            </w:pPr>
            <w:r/>
            <w:r>
              <w:rPr>
                <w:rFonts w:ascii="Times New Roman" w:hAnsi="Times New Roman"/>
                <w:b w:val="0"/>
                <w:i w:val="0"/>
                <w:sz w:val="20"/>
              </w:rPr>
              <w:t>LightGBM</w:t>
            </w:r>
          </w:p>
        </w:tc>
        <w:tc>
          <w:tcPr>
            <w:tcW w:type="dxa" w:w="1296"/>
            <w:vAlign w:val="center"/>
          </w:tcPr>
          <w:p>
            <w:pPr>
              <w:jc w:val="center"/>
            </w:pPr>
            <w:r/>
            <w:r>
              <w:rPr>
                <w:rFonts w:ascii="Times New Roman" w:hAnsi="Times New Roman"/>
                <w:b w:val="0"/>
                <w:i w:val="0"/>
                <w:sz w:val="20"/>
              </w:rPr>
              <w:t>0.8196</w:t>
            </w:r>
          </w:p>
        </w:tc>
        <w:tc>
          <w:tcPr>
            <w:tcW w:type="dxa" w:w="1296"/>
            <w:vAlign w:val="center"/>
          </w:tcPr>
          <w:p>
            <w:pPr>
              <w:jc w:val="center"/>
            </w:pPr>
            <w:r/>
            <w:r>
              <w:rPr>
                <w:rFonts w:ascii="Times New Roman" w:hAnsi="Times New Roman"/>
                <w:b w:val="0"/>
                <w:i w:val="0"/>
                <w:sz w:val="20"/>
              </w:rPr>
              <w:t>0.7995</w:t>
            </w:r>
          </w:p>
        </w:tc>
        <w:tc>
          <w:tcPr>
            <w:tcW w:type="dxa" w:w="1296"/>
            <w:vAlign w:val="center"/>
          </w:tcPr>
          <w:p>
            <w:pPr>
              <w:jc w:val="center"/>
            </w:pPr>
            <w:r/>
            <w:r>
              <w:rPr>
                <w:rFonts w:ascii="Times New Roman" w:hAnsi="Times New Roman"/>
                <w:b w:val="0"/>
                <w:i w:val="0"/>
                <w:sz w:val="20"/>
              </w:rPr>
              <w:t>+0.0201</w:t>
            </w:r>
          </w:p>
        </w:tc>
        <w:tc>
          <w:tcPr>
            <w:tcW w:type="dxa" w:w="1296"/>
            <w:vAlign w:val="center"/>
          </w:tcPr>
          <w:p>
            <w:pPr>
              <w:jc w:val="center"/>
            </w:pPr>
            <w:r/>
            <w:r>
              <w:rPr>
                <w:rFonts w:ascii="Times New Roman" w:hAnsi="Times New Roman"/>
                <w:b w:val="0"/>
                <w:i w:val="0"/>
                <w:sz w:val="20"/>
              </w:rPr>
              <w:t>%72.8</w:t>
            </w:r>
          </w:p>
        </w:tc>
        <w:tc>
          <w:tcPr>
            <w:tcW w:type="dxa" w:w="1296"/>
            <w:vAlign w:val="center"/>
          </w:tcPr>
          <w:p>
            <w:pPr>
              <w:jc w:val="center"/>
            </w:pPr>
            <w:r/>
            <w:r>
              <w:rPr>
                <w:rFonts w:ascii="Times New Roman" w:hAnsi="Times New Roman"/>
                <w:b w:val="0"/>
                <w:i w:val="0"/>
                <w:sz w:val="20"/>
              </w:rPr>
              <w:t>%70.0</w:t>
            </w:r>
          </w:p>
        </w:tc>
        <w:tc>
          <w:tcPr>
            <w:tcW w:type="dxa" w:w="1296"/>
            <w:vAlign w:val="center"/>
          </w:tcPr>
          <w:p>
            <w:pPr>
              <w:jc w:val="center"/>
            </w:pPr>
            <w:r/>
            <w:r>
              <w:rPr>
                <w:rFonts w:ascii="Times New Roman" w:hAnsi="Times New Roman"/>
                <w:b w:val="0"/>
                <w:i w:val="0"/>
                <w:sz w:val="20"/>
              </w:rPr>
              <w:t>+%2.8</w:t>
            </w:r>
          </w:p>
        </w:tc>
      </w:tr>
      <w:tr>
        <w:tc>
          <w:tcPr>
            <w:tcW w:type="dxa" w:w="1296"/>
            <w:vAlign w:val="center"/>
          </w:tcPr>
          <w:p>
            <w:pPr>
              <w:jc w:val="center"/>
            </w:pPr>
            <w:r/>
            <w:r>
              <w:rPr>
                <w:rFonts w:ascii="Times New Roman" w:hAnsi="Times New Roman"/>
                <w:b w:val="0"/>
                <w:i w:val="0"/>
                <w:sz w:val="20"/>
              </w:rPr>
              <w:t>CatBoost</w:t>
            </w:r>
          </w:p>
        </w:tc>
        <w:tc>
          <w:tcPr>
            <w:tcW w:type="dxa" w:w="1296"/>
            <w:vAlign w:val="center"/>
          </w:tcPr>
          <w:p>
            <w:pPr>
              <w:jc w:val="center"/>
            </w:pPr>
            <w:r/>
            <w:r>
              <w:rPr>
                <w:rFonts w:ascii="Times New Roman" w:hAnsi="Times New Roman"/>
                <w:b w:val="0"/>
                <w:i w:val="0"/>
                <w:sz w:val="20"/>
              </w:rPr>
              <w:t>0.8195</w:t>
            </w:r>
          </w:p>
        </w:tc>
        <w:tc>
          <w:tcPr>
            <w:tcW w:type="dxa" w:w="1296"/>
            <w:vAlign w:val="center"/>
          </w:tcPr>
          <w:p>
            <w:pPr>
              <w:jc w:val="center"/>
            </w:pPr>
            <w:r/>
            <w:r>
              <w:rPr>
                <w:rFonts w:ascii="Times New Roman" w:hAnsi="Times New Roman"/>
                <w:b w:val="0"/>
                <w:i w:val="0"/>
                <w:sz w:val="20"/>
              </w:rPr>
              <w:t>0.8015</w:t>
            </w:r>
          </w:p>
        </w:tc>
        <w:tc>
          <w:tcPr>
            <w:tcW w:type="dxa" w:w="1296"/>
            <w:vAlign w:val="center"/>
          </w:tcPr>
          <w:p>
            <w:pPr>
              <w:jc w:val="center"/>
            </w:pPr>
            <w:r/>
            <w:r>
              <w:rPr>
                <w:rFonts w:ascii="Times New Roman" w:hAnsi="Times New Roman"/>
                <w:b w:val="0"/>
                <w:i w:val="0"/>
                <w:sz w:val="20"/>
              </w:rPr>
              <w:t>+0.0180</w:t>
            </w:r>
          </w:p>
        </w:tc>
        <w:tc>
          <w:tcPr>
            <w:tcW w:type="dxa" w:w="1296"/>
            <w:vAlign w:val="center"/>
          </w:tcPr>
          <w:p>
            <w:pPr>
              <w:jc w:val="center"/>
            </w:pPr>
            <w:r/>
            <w:r>
              <w:rPr>
                <w:rFonts w:ascii="Times New Roman" w:hAnsi="Times New Roman"/>
                <w:b w:val="0"/>
                <w:i w:val="0"/>
                <w:sz w:val="20"/>
              </w:rPr>
              <w:t>%73.1</w:t>
            </w:r>
          </w:p>
        </w:tc>
        <w:tc>
          <w:tcPr>
            <w:tcW w:type="dxa" w:w="1296"/>
            <w:vAlign w:val="center"/>
          </w:tcPr>
          <w:p>
            <w:pPr>
              <w:jc w:val="center"/>
            </w:pPr>
            <w:r/>
            <w:r>
              <w:rPr>
                <w:rFonts w:ascii="Times New Roman" w:hAnsi="Times New Roman"/>
                <w:b w:val="0"/>
                <w:i w:val="0"/>
                <w:sz w:val="20"/>
              </w:rPr>
              <w:t>%70.8</w:t>
            </w:r>
          </w:p>
        </w:tc>
        <w:tc>
          <w:tcPr>
            <w:tcW w:type="dxa" w:w="1296"/>
            <w:vAlign w:val="center"/>
          </w:tcPr>
          <w:p>
            <w:pPr>
              <w:jc w:val="center"/>
            </w:pPr>
            <w:r/>
            <w:r>
              <w:rPr>
                <w:rFonts w:ascii="Times New Roman" w:hAnsi="Times New Roman"/>
                <w:b w:val="0"/>
                <w:i w:val="0"/>
                <w:sz w:val="20"/>
              </w:rPr>
              <w:t>+%2.3</w:t>
            </w:r>
          </w:p>
        </w:tc>
      </w:tr>
      <w:tr>
        <w:tc>
          <w:tcPr>
            <w:tcW w:type="dxa" w:w="1296"/>
            <w:vAlign w:val="center"/>
          </w:tcPr>
          <w:p>
            <w:pPr>
              <w:jc w:val="center"/>
            </w:pPr>
            <w:r/>
            <w:r>
              <w:rPr>
                <w:rFonts w:ascii="Times New Roman" w:hAnsi="Times New Roman"/>
                <w:b w:val="0"/>
                <w:i w:val="0"/>
                <w:sz w:val="20"/>
              </w:rPr>
              <w:t>VotingEnsemble</w:t>
            </w:r>
          </w:p>
        </w:tc>
        <w:tc>
          <w:tcPr>
            <w:tcW w:type="dxa" w:w="1296"/>
            <w:vAlign w:val="center"/>
          </w:tcPr>
          <w:p>
            <w:pPr>
              <w:jc w:val="center"/>
            </w:pPr>
            <w:r/>
            <w:r>
              <w:rPr>
                <w:rFonts w:ascii="Times New Roman" w:hAnsi="Times New Roman"/>
                <w:b w:val="0"/>
                <w:i w:val="0"/>
                <w:sz w:val="20"/>
              </w:rPr>
              <w:t>0.8195</w:t>
            </w:r>
          </w:p>
        </w:tc>
        <w:tc>
          <w:tcPr>
            <w:tcW w:type="dxa" w:w="1296"/>
            <w:vAlign w:val="center"/>
          </w:tcPr>
          <w:p>
            <w:pPr>
              <w:jc w:val="center"/>
            </w:pPr>
            <w:r/>
            <w:r>
              <w:rPr>
                <w:rFonts w:ascii="Times New Roman" w:hAnsi="Times New Roman"/>
                <w:b w:val="0"/>
                <w:i w:val="0"/>
                <w:sz w:val="20"/>
              </w:rPr>
              <w:t>0.7991</w:t>
            </w:r>
          </w:p>
        </w:tc>
        <w:tc>
          <w:tcPr>
            <w:tcW w:type="dxa" w:w="1296"/>
            <w:vAlign w:val="center"/>
          </w:tcPr>
          <w:p>
            <w:pPr>
              <w:jc w:val="center"/>
            </w:pPr>
            <w:r/>
            <w:r>
              <w:rPr>
                <w:rFonts w:ascii="Times New Roman" w:hAnsi="Times New Roman"/>
                <w:b w:val="0"/>
                <w:i w:val="0"/>
                <w:sz w:val="20"/>
              </w:rPr>
              <w:t>+0.0204</w:t>
            </w:r>
          </w:p>
        </w:tc>
        <w:tc>
          <w:tcPr>
            <w:tcW w:type="dxa" w:w="1296"/>
            <w:vAlign w:val="center"/>
          </w:tcPr>
          <w:p>
            <w:pPr>
              <w:jc w:val="center"/>
            </w:pPr>
            <w:r/>
            <w:r>
              <w:rPr>
                <w:rFonts w:ascii="Times New Roman" w:hAnsi="Times New Roman"/>
                <w:b w:val="0"/>
                <w:i w:val="0"/>
                <w:sz w:val="20"/>
              </w:rPr>
              <w:t>%73.4</w:t>
            </w:r>
          </w:p>
        </w:tc>
        <w:tc>
          <w:tcPr>
            <w:tcW w:type="dxa" w:w="1296"/>
            <w:vAlign w:val="center"/>
          </w:tcPr>
          <w:p>
            <w:pPr>
              <w:jc w:val="center"/>
            </w:pPr>
            <w:r/>
            <w:r>
              <w:rPr>
                <w:rFonts w:ascii="Times New Roman" w:hAnsi="Times New Roman"/>
                <w:b w:val="0"/>
                <w:i w:val="0"/>
                <w:sz w:val="20"/>
              </w:rPr>
              <w:t>%70.5</w:t>
            </w:r>
          </w:p>
        </w:tc>
        <w:tc>
          <w:tcPr>
            <w:tcW w:type="dxa" w:w="1296"/>
            <w:vAlign w:val="center"/>
          </w:tcPr>
          <w:p>
            <w:pPr>
              <w:jc w:val="center"/>
            </w:pPr>
            <w:r/>
            <w:r>
              <w:rPr>
                <w:rFonts w:ascii="Times New Roman" w:hAnsi="Times New Roman"/>
                <w:b w:val="0"/>
                <w:i w:val="0"/>
                <w:sz w:val="20"/>
              </w:rPr>
              <w:t>+%2.9</w:t>
            </w:r>
          </w:p>
        </w:tc>
      </w:tr>
      <w:tr>
        <w:tc>
          <w:tcPr>
            <w:tcW w:type="dxa" w:w="1296"/>
            <w:vAlign w:val="center"/>
          </w:tcPr>
          <w:p>
            <w:pPr>
              <w:jc w:val="center"/>
            </w:pPr>
            <w:r/>
            <w:r>
              <w:rPr>
                <w:rFonts w:ascii="Times New Roman" w:hAnsi="Times New Roman"/>
                <w:b w:val="0"/>
                <w:i w:val="0"/>
                <w:sz w:val="20"/>
              </w:rPr>
              <w:t>XGBoost</w:t>
            </w:r>
          </w:p>
        </w:tc>
        <w:tc>
          <w:tcPr>
            <w:tcW w:type="dxa" w:w="1296"/>
            <w:vAlign w:val="center"/>
          </w:tcPr>
          <w:p>
            <w:pPr>
              <w:jc w:val="center"/>
            </w:pPr>
            <w:r/>
            <w:r>
              <w:rPr>
                <w:rFonts w:ascii="Times New Roman" w:hAnsi="Times New Roman"/>
                <w:b w:val="0"/>
                <w:i w:val="0"/>
                <w:sz w:val="20"/>
              </w:rPr>
              <w:t>0.8194</w:t>
            </w:r>
          </w:p>
        </w:tc>
        <w:tc>
          <w:tcPr>
            <w:tcW w:type="dxa" w:w="1296"/>
            <w:vAlign w:val="center"/>
          </w:tcPr>
          <w:p>
            <w:pPr>
              <w:jc w:val="center"/>
            </w:pPr>
            <w:r/>
            <w:r>
              <w:rPr>
                <w:rFonts w:ascii="Times New Roman" w:hAnsi="Times New Roman"/>
                <w:b w:val="0"/>
                <w:i w:val="0"/>
                <w:sz w:val="20"/>
              </w:rPr>
              <w:t>0.7992</w:t>
            </w:r>
          </w:p>
        </w:tc>
        <w:tc>
          <w:tcPr>
            <w:tcW w:type="dxa" w:w="1296"/>
            <w:vAlign w:val="center"/>
          </w:tcPr>
          <w:p>
            <w:pPr>
              <w:jc w:val="center"/>
            </w:pPr>
            <w:r/>
            <w:r>
              <w:rPr>
                <w:rFonts w:ascii="Times New Roman" w:hAnsi="Times New Roman"/>
                <w:b w:val="0"/>
                <w:i w:val="0"/>
                <w:sz w:val="20"/>
              </w:rPr>
              <w:t>+0.0202</w:t>
            </w:r>
          </w:p>
        </w:tc>
        <w:tc>
          <w:tcPr>
            <w:tcW w:type="dxa" w:w="1296"/>
            <w:vAlign w:val="center"/>
          </w:tcPr>
          <w:p>
            <w:pPr>
              <w:jc w:val="center"/>
            </w:pPr>
            <w:r/>
            <w:r>
              <w:rPr>
                <w:rFonts w:ascii="Times New Roman" w:hAnsi="Times New Roman"/>
                <w:b w:val="0"/>
                <w:i w:val="0"/>
                <w:sz w:val="20"/>
              </w:rPr>
              <w:t>%73.0</w:t>
            </w:r>
          </w:p>
        </w:tc>
        <w:tc>
          <w:tcPr>
            <w:tcW w:type="dxa" w:w="1296"/>
            <w:vAlign w:val="center"/>
          </w:tcPr>
          <w:p>
            <w:pPr>
              <w:jc w:val="center"/>
            </w:pPr>
            <w:r/>
            <w:r>
              <w:rPr>
                <w:rFonts w:ascii="Times New Roman" w:hAnsi="Times New Roman"/>
                <w:b w:val="0"/>
                <w:i w:val="0"/>
                <w:sz w:val="20"/>
              </w:rPr>
              <w:t>%70.3</w:t>
            </w:r>
          </w:p>
        </w:tc>
        <w:tc>
          <w:tcPr>
            <w:tcW w:type="dxa" w:w="1296"/>
            <w:vAlign w:val="center"/>
          </w:tcPr>
          <w:p>
            <w:pPr>
              <w:jc w:val="center"/>
            </w:pPr>
            <w:r/>
            <w:r>
              <w:rPr>
                <w:rFonts w:ascii="Times New Roman" w:hAnsi="Times New Roman"/>
                <w:b w:val="0"/>
                <w:i w:val="0"/>
                <w:sz w:val="20"/>
              </w:rPr>
              <w:t>+%2.7</w:t>
            </w:r>
          </w:p>
        </w:tc>
      </w:tr>
      <w:tr>
        <w:tc>
          <w:tcPr>
            <w:tcW w:type="dxa" w:w="1296"/>
            <w:vAlign w:val="center"/>
          </w:tcPr>
          <w:p>
            <w:pPr>
              <w:jc w:val="center"/>
            </w:pPr>
            <w:r/>
            <w:r>
              <w:rPr>
                <w:rFonts w:ascii="Times New Roman" w:hAnsi="Times New Roman"/>
                <w:b w:val="0"/>
                <w:i w:val="0"/>
                <w:sz w:val="20"/>
              </w:rPr>
              <w:t>BaggingLGBM</w:t>
            </w:r>
          </w:p>
        </w:tc>
        <w:tc>
          <w:tcPr>
            <w:tcW w:type="dxa" w:w="1296"/>
            <w:vAlign w:val="center"/>
          </w:tcPr>
          <w:p>
            <w:pPr>
              <w:jc w:val="center"/>
            </w:pPr>
            <w:r/>
            <w:r>
              <w:rPr>
                <w:rFonts w:ascii="Times New Roman" w:hAnsi="Times New Roman"/>
                <w:b w:val="0"/>
                <w:i w:val="0"/>
                <w:sz w:val="20"/>
              </w:rPr>
              <w:t>0.8183</w:t>
            </w:r>
          </w:p>
        </w:tc>
        <w:tc>
          <w:tcPr>
            <w:tcW w:type="dxa" w:w="1296"/>
            <w:vAlign w:val="center"/>
          </w:tcPr>
          <w:p>
            <w:pPr>
              <w:jc w:val="center"/>
            </w:pPr>
            <w:r/>
            <w:r>
              <w:rPr>
                <w:rFonts w:ascii="Times New Roman" w:hAnsi="Times New Roman"/>
                <w:b w:val="0"/>
                <w:i w:val="0"/>
                <w:sz w:val="20"/>
              </w:rPr>
              <w:t>0.7982</w:t>
            </w:r>
          </w:p>
        </w:tc>
        <w:tc>
          <w:tcPr>
            <w:tcW w:type="dxa" w:w="1296"/>
            <w:vAlign w:val="center"/>
          </w:tcPr>
          <w:p>
            <w:pPr>
              <w:jc w:val="center"/>
            </w:pPr>
            <w:r/>
            <w:r>
              <w:rPr>
                <w:rFonts w:ascii="Times New Roman" w:hAnsi="Times New Roman"/>
                <w:b w:val="0"/>
                <w:i w:val="0"/>
                <w:sz w:val="20"/>
              </w:rPr>
              <w:t>+0.0201</w:t>
            </w:r>
          </w:p>
        </w:tc>
        <w:tc>
          <w:tcPr>
            <w:tcW w:type="dxa" w:w="1296"/>
            <w:vAlign w:val="center"/>
          </w:tcPr>
          <w:p>
            <w:pPr>
              <w:jc w:val="center"/>
            </w:pPr>
            <w:r/>
            <w:r>
              <w:rPr>
                <w:rFonts w:ascii="Times New Roman" w:hAnsi="Times New Roman"/>
                <w:b w:val="0"/>
                <w:i w:val="0"/>
                <w:sz w:val="20"/>
              </w:rPr>
              <w:t>%72.9</w:t>
            </w:r>
          </w:p>
        </w:tc>
        <w:tc>
          <w:tcPr>
            <w:tcW w:type="dxa" w:w="1296"/>
            <w:vAlign w:val="center"/>
          </w:tcPr>
          <w:p>
            <w:pPr>
              <w:jc w:val="center"/>
            </w:pPr>
            <w:r/>
            <w:r>
              <w:rPr>
                <w:rFonts w:ascii="Times New Roman" w:hAnsi="Times New Roman"/>
                <w:b w:val="0"/>
                <w:i w:val="0"/>
                <w:sz w:val="20"/>
              </w:rPr>
              <w:t>%70.5</w:t>
            </w:r>
          </w:p>
        </w:tc>
        <w:tc>
          <w:tcPr>
            <w:tcW w:type="dxa" w:w="1296"/>
            <w:vAlign w:val="center"/>
          </w:tcPr>
          <w:p>
            <w:pPr>
              <w:jc w:val="center"/>
            </w:pPr>
            <w:r/>
            <w:r>
              <w:rPr>
                <w:rFonts w:ascii="Times New Roman" w:hAnsi="Times New Roman"/>
                <w:b w:val="0"/>
                <w:i w:val="0"/>
                <w:sz w:val="20"/>
              </w:rPr>
              <w:t>+%2.4</w:t>
            </w:r>
          </w:p>
        </w:tc>
      </w:tr>
      <w:tr>
        <w:tc>
          <w:tcPr>
            <w:tcW w:type="dxa" w:w="1296"/>
            <w:vAlign w:val="center"/>
          </w:tcPr>
          <w:p>
            <w:pPr>
              <w:jc w:val="center"/>
            </w:pPr>
            <w:r/>
            <w:r>
              <w:rPr>
                <w:rFonts w:ascii="Times New Roman" w:hAnsi="Times New Roman"/>
                <w:b w:val="0"/>
                <w:i w:val="0"/>
                <w:sz w:val="20"/>
              </w:rPr>
              <w:t>GradientBoosting</w:t>
            </w:r>
          </w:p>
        </w:tc>
        <w:tc>
          <w:tcPr>
            <w:tcW w:type="dxa" w:w="1296"/>
            <w:vAlign w:val="center"/>
          </w:tcPr>
          <w:p>
            <w:pPr>
              <w:jc w:val="center"/>
            </w:pPr>
            <w:r/>
            <w:r>
              <w:rPr>
                <w:rFonts w:ascii="Times New Roman" w:hAnsi="Times New Roman"/>
                <w:b w:val="0"/>
                <w:i w:val="0"/>
                <w:sz w:val="20"/>
              </w:rPr>
              <w:t>0.8104</w:t>
            </w:r>
          </w:p>
        </w:tc>
        <w:tc>
          <w:tcPr>
            <w:tcW w:type="dxa" w:w="1296"/>
            <w:vAlign w:val="center"/>
          </w:tcPr>
          <w:p>
            <w:pPr>
              <w:jc w:val="center"/>
            </w:pPr>
            <w:r/>
            <w:r>
              <w:rPr>
                <w:rFonts w:ascii="Times New Roman" w:hAnsi="Times New Roman"/>
                <w:b w:val="0"/>
                <w:i w:val="0"/>
                <w:sz w:val="20"/>
              </w:rPr>
              <w:t>0.7872</w:t>
            </w:r>
          </w:p>
        </w:tc>
        <w:tc>
          <w:tcPr>
            <w:tcW w:type="dxa" w:w="1296"/>
            <w:vAlign w:val="center"/>
          </w:tcPr>
          <w:p>
            <w:pPr>
              <w:jc w:val="center"/>
            </w:pPr>
            <w:r/>
            <w:r>
              <w:rPr>
                <w:rFonts w:ascii="Times New Roman" w:hAnsi="Times New Roman"/>
                <w:b w:val="0"/>
                <w:i w:val="0"/>
                <w:sz w:val="20"/>
              </w:rPr>
              <w:t>+0.0232</w:t>
            </w:r>
          </w:p>
        </w:tc>
        <w:tc>
          <w:tcPr>
            <w:tcW w:type="dxa" w:w="1296"/>
            <w:vAlign w:val="center"/>
          </w:tcPr>
          <w:p>
            <w:pPr>
              <w:jc w:val="center"/>
            </w:pPr>
            <w:r/>
            <w:r>
              <w:rPr>
                <w:rFonts w:ascii="Times New Roman" w:hAnsi="Times New Roman"/>
                <w:b w:val="0"/>
                <w:i w:val="0"/>
                <w:sz w:val="20"/>
              </w:rPr>
              <w:t>%72.2</w:t>
            </w:r>
          </w:p>
        </w:tc>
        <w:tc>
          <w:tcPr>
            <w:tcW w:type="dxa" w:w="1296"/>
            <w:vAlign w:val="center"/>
          </w:tcPr>
          <w:p>
            <w:pPr>
              <w:jc w:val="center"/>
            </w:pPr>
            <w:r/>
            <w:r>
              <w:rPr>
                <w:rFonts w:ascii="Times New Roman" w:hAnsi="Times New Roman"/>
                <w:b w:val="0"/>
                <w:i w:val="0"/>
                <w:sz w:val="20"/>
              </w:rPr>
              <w:t>%69.5</w:t>
            </w:r>
          </w:p>
        </w:tc>
        <w:tc>
          <w:tcPr>
            <w:tcW w:type="dxa" w:w="1296"/>
            <w:vAlign w:val="center"/>
          </w:tcPr>
          <w:p>
            <w:pPr>
              <w:jc w:val="center"/>
            </w:pPr>
            <w:r/>
            <w:r>
              <w:rPr>
                <w:rFonts w:ascii="Times New Roman" w:hAnsi="Times New Roman"/>
                <w:b w:val="0"/>
                <w:i w:val="0"/>
                <w:sz w:val="20"/>
              </w:rPr>
              <w:t>+%2.7</w:t>
            </w:r>
          </w:p>
        </w:tc>
      </w:tr>
      <w:tr>
        <w:tc>
          <w:tcPr>
            <w:tcW w:type="dxa" w:w="1296"/>
            <w:vAlign w:val="center"/>
          </w:tcPr>
          <w:p>
            <w:pPr>
              <w:jc w:val="center"/>
            </w:pPr>
            <w:r/>
            <w:r>
              <w:rPr>
                <w:rFonts w:ascii="Times New Roman" w:hAnsi="Times New Roman"/>
                <w:b w:val="0"/>
                <w:i w:val="0"/>
                <w:sz w:val="20"/>
              </w:rPr>
              <w:t>LogisticRegression</w:t>
            </w:r>
          </w:p>
        </w:tc>
        <w:tc>
          <w:tcPr>
            <w:tcW w:type="dxa" w:w="1296"/>
            <w:vAlign w:val="center"/>
          </w:tcPr>
          <w:p>
            <w:pPr>
              <w:jc w:val="center"/>
            </w:pPr>
            <w:r/>
            <w:r>
              <w:rPr>
                <w:rFonts w:ascii="Times New Roman" w:hAnsi="Times New Roman"/>
                <w:b w:val="0"/>
                <w:i w:val="0"/>
                <w:sz w:val="20"/>
              </w:rPr>
              <w:t>0.7983</w:t>
            </w:r>
          </w:p>
        </w:tc>
        <w:tc>
          <w:tcPr>
            <w:tcW w:type="dxa" w:w="1296"/>
            <w:vAlign w:val="center"/>
          </w:tcPr>
          <w:p>
            <w:pPr>
              <w:jc w:val="center"/>
            </w:pPr>
            <w:r/>
            <w:r>
              <w:rPr>
                <w:rFonts w:ascii="Times New Roman" w:hAnsi="Times New Roman"/>
                <w:b w:val="0"/>
                <w:i w:val="0"/>
                <w:sz w:val="20"/>
              </w:rPr>
              <w:t>0.7735</w:t>
            </w:r>
          </w:p>
        </w:tc>
        <w:tc>
          <w:tcPr>
            <w:tcW w:type="dxa" w:w="1296"/>
            <w:vAlign w:val="center"/>
          </w:tcPr>
          <w:p>
            <w:pPr>
              <w:jc w:val="center"/>
            </w:pPr>
            <w:r/>
            <w:r>
              <w:rPr>
                <w:rFonts w:ascii="Times New Roman" w:hAnsi="Times New Roman"/>
                <w:b w:val="0"/>
                <w:i w:val="0"/>
                <w:sz w:val="20"/>
              </w:rPr>
              <w:t>+0.0248</w:t>
            </w:r>
          </w:p>
        </w:tc>
        <w:tc>
          <w:tcPr>
            <w:tcW w:type="dxa" w:w="1296"/>
            <w:vAlign w:val="center"/>
          </w:tcPr>
          <w:p>
            <w:pPr>
              <w:jc w:val="center"/>
            </w:pPr>
            <w:r/>
            <w:r>
              <w:rPr>
                <w:rFonts w:ascii="Times New Roman" w:hAnsi="Times New Roman"/>
                <w:b w:val="0"/>
                <w:i w:val="0"/>
                <w:sz w:val="20"/>
              </w:rPr>
              <w:t>%71.0</w:t>
            </w:r>
          </w:p>
        </w:tc>
        <w:tc>
          <w:tcPr>
            <w:tcW w:type="dxa" w:w="1296"/>
            <w:vAlign w:val="center"/>
          </w:tcPr>
          <w:p>
            <w:pPr>
              <w:jc w:val="center"/>
            </w:pPr>
            <w:r/>
            <w:r>
              <w:rPr>
                <w:rFonts w:ascii="Times New Roman" w:hAnsi="Times New Roman"/>
                <w:b w:val="0"/>
                <w:i w:val="0"/>
                <w:sz w:val="20"/>
              </w:rPr>
              <w:t>%67.0</w:t>
            </w:r>
          </w:p>
        </w:tc>
        <w:tc>
          <w:tcPr>
            <w:tcW w:type="dxa" w:w="1296"/>
            <w:vAlign w:val="center"/>
          </w:tcPr>
          <w:p>
            <w:pPr>
              <w:jc w:val="center"/>
            </w:pPr>
            <w:r/>
            <w:r>
              <w:rPr>
                <w:rFonts w:ascii="Times New Roman" w:hAnsi="Times New Roman"/>
                <w:b w:val="0"/>
                <w:i w:val="0"/>
                <w:sz w:val="20"/>
              </w:rPr>
              <w:t>+%4.0</w:t>
            </w:r>
          </w:p>
        </w:tc>
      </w:tr>
      <w:tr>
        <w:tc>
          <w:tcPr>
            <w:tcW w:type="dxa" w:w="1296"/>
            <w:vAlign w:val="center"/>
          </w:tcPr>
          <w:p>
            <w:pPr>
              <w:jc w:val="center"/>
            </w:pPr>
            <w:r/>
            <w:r>
              <w:rPr>
                <w:rFonts w:ascii="Times New Roman" w:hAnsi="Times New Roman"/>
                <w:b w:val="0"/>
                <w:i w:val="0"/>
                <w:sz w:val="20"/>
              </w:rPr>
              <w:t>RandomForest</w:t>
            </w:r>
          </w:p>
        </w:tc>
        <w:tc>
          <w:tcPr>
            <w:tcW w:type="dxa" w:w="1296"/>
            <w:vAlign w:val="center"/>
          </w:tcPr>
          <w:p>
            <w:pPr>
              <w:jc w:val="center"/>
            </w:pPr>
            <w:r/>
            <w:r>
              <w:rPr>
                <w:rFonts w:ascii="Times New Roman" w:hAnsi="Times New Roman"/>
                <w:b w:val="0"/>
                <w:i w:val="0"/>
                <w:sz w:val="20"/>
              </w:rPr>
              <w:t>0.7913</w:t>
            </w:r>
          </w:p>
        </w:tc>
        <w:tc>
          <w:tcPr>
            <w:tcW w:type="dxa" w:w="1296"/>
            <w:vAlign w:val="center"/>
          </w:tcPr>
          <w:p>
            <w:pPr>
              <w:jc w:val="center"/>
            </w:pPr>
            <w:r/>
            <w:r>
              <w:rPr>
                <w:rFonts w:ascii="Times New Roman" w:hAnsi="Times New Roman"/>
                <w:b w:val="0"/>
                <w:i w:val="0"/>
                <w:sz w:val="20"/>
              </w:rPr>
              <w:t>0.7530</w:t>
            </w:r>
          </w:p>
        </w:tc>
        <w:tc>
          <w:tcPr>
            <w:tcW w:type="dxa" w:w="1296"/>
            <w:vAlign w:val="center"/>
          </w:tcPr>
          <w:p>
            <w:pPr>
              <w:jc w:val="center"/>
            </w:pPr>
            <w:r/>
            <w:r>
              <w:rPr>
                <w:rFonts w:ascii="Times New Roman" w:hAnsi="Times New Roman"/>
                <w:b w:val="0"/>
                <w:i w:val="0"/>
                <w:sz w:val="20"/>
              </w:rPr>
              <w:t>+0.0383</w:t>
            </w:r>
          </w:p>
        </w:tc>
        <w:tc>
          <w:tcPr>
            <w:tcW w:type="dxa" w:w="1296"/>
            <w:vAlign w:val="center"/>
          </w:tcPr>
          <w:p>
            <w:pPr>
              <w:jc w:val="center"/>
            </w:pPr>
            <w:r/>
            <w:r>
              <w:rPr>
                <w:rFonts w:ascii="Times New Roman" w:hAnsi="Times New Roman"/>
                <w:b w:val="0"/>
                <w:i w:val="0"/>
                <w:sz w:val="20"/>
              </w:rPr>
              <w:t>%70.2</w:t>
            </w:r>
          </w:p>
        </w:tc>
        <w:tc>
          <w:tcPr>
            <w:tcW w:type="dxa" w:w="1296"/>
            <w:vAlign w:val="center"/>
          </w:tcPr>
          <w:p>
            <w:pPr>
              <w:jc w:val="center"/>
            </w:pPr>
            <w:r/>
            <w:r>
              <w:rPr>
                <w:rFonts w:ascii="Times New Roman" w:hAnsi="Times New Roman"/>
                <w:b w:val="0"/>
                <w:i w:val="0"/>
                <w:sz w:val="20"/>
              </w:rPr>
              <w:t>%66.3</w:t>
            </w:r>
          </w:p>
        </w:tc>
        <w:tc>
          <w:tcPr>
            <w:tcW w:type="dxa" w:w="1296"/>
            <w:vAlign w:val="center"/>
          </w:tcPr>
          <w:p>
            <w:pPr>
              <w:jc w:val="center"/>
            </w:pPr>
            <w:r/>
            <w:r>
              <w:rPr>
                <w:rFonts w:ascii="Times New Roman" w:hAnsi="Times New Roman"/>
                <w:b w:val="0"/>
                <w:i w:val="0"/>
                <w:sz w:val="20"/>
              </w:rPr>
              <w:t>+%3.8</w:t>
            </w:r>
          </w:p>
        </w:tc>
      </w:tr>
    </w:tbl>
    <w:p/>
    <w:p>
      <w:pPr>
        <w:spacing w:after="200"/>
        <w:jc w:val="both"/>
      </w:pPr>
      <w:r>
        <w:rPr>
          <w:rFonts w:ascii="Times New Roman" w:hAnsi="Times New Roman"/>
          <w:b w:val="0"/>
          <w:i/>
          <w:sz w:val="20"/>
        </w:rPr>
        <w:t>Ortalama ΔAUC (Is_Top3): +0.0227 (piyasa sinyalinin ortalama katkısı).</w:t>
      </w:r>
    </w:p>
    <w:p>
      <w:pPr>
        <w:jc w:val="center"/>
      </w:pPr>
      <w:r>
        <w:drawing>
          <wp:inline xmlns:a="http://schemas.openxmlformats.org/drawingml/2006/main" xmlns:pic="http://schemas.openxmlformats.org/drawingml/2006/picture">
            <wp:extent cx="5040000" cy="2721181"/>
            <wp:docPr id="3" name="Picture 3"/>
            <wp:cNvGraphicFramePr>
              <a:graphicFrameLocks noChangeAspect="1"/>
            </wp:cNvGraphicFramePr>
            <a:graphic>
              <a:graphicData uri="http://schemas.openxmlformats.org/drawingml/2006/picture">
                <pic:pic>
                  <pic:nvPicPr>
                    <pic:cNvPr id="0" name="ablation_auc_is_winner.png"/>
                    <pic:cNvPicPr/>
                  </pic:nvPicPr>
                  <pic:blipFill>
                    <a:blip r:embed="rId12"/>
                    <a:stretch>
                      <a:fillRect/>
                    </a:stretch>
                  </pic:blipFill>
                  <pic:spPr>
                    <a:xfrm>
                      <a:off x="0" y="0"/>
                      <a:ext cx="5040000" cy="2721181"/>
                    </a:xfrm>
                    <a:prstGeom prst="rect"/>
                  </pic:spPr>
                </pic:pic>
              </a:graphicData>
            </a:graphic>
          </wp:inline>
        </w:drawing>
      </w:r>
    </w:p>
    <w:p>
      <w:pPr>
        <w:spacing w:after="240"/>
        <w:jc w:val="center"/>
      </w:pPr>
      <w:r>
        <w:rPr>
          <w:rFonts w:ascii="Times New Roman" w:hAnsi="Times New Roman"/>
          <w:b w:val="0"/>
          <w:i w:val="0"/>
          <w:sz w:val="22"/>
        </w:rPr>
        <w:t>Şekil 3: Tam model ile piyasa sinyalsiz (Ganyansız) modelin AUC karşılaştırması — Is_Winner</w:t>
      </w:r>
    </w:p>
    <w:p>
      <w:pPr>
        <w:jc w:val="center"/>
      </w:pPr>
      <w:r>
        <w:drawing>
          <wp:inline xmlns:a="http://schemas.openxmlformats.org/drawingml/2006/main" xmlns:pic="http://schemas.openxmlformats.org/drawingml/2006/picture">
            <wp:extent cx="5040000" cy="2721181"/>
            <wp:docPr id="4" name="Picture 4"/>
            <wp:cNvGraphicFramePr>
              <a:graphicFrameLocks noChangeAspect="1"/>
            </wp:cNvGraphicFramePr>
            <a:graphic>
              <a:graphicData uri="http://schemas.openxmlformats.org/drawingml/2006/picture">
                <pic:pic>
                  <pic:nvPicPr>
                    <pic:cNvPr id="0" name="ablation_auc_is_top3.png"/>
                    <pic:cNvPicPr/>
                  </pic:nvPicPr>
                  <pic:blipFill>
                    <a:blip r:embed="rId13"/>
                    <a:stretch>
                      <a:fillRect/>
                    </a:stretch>
                  </pic:blipFill>
                  <pic:spPr>
                    <a:xfrm>
                      <a:off x="0" y="0"/>
                      <a:ext cx="5040000" cy="2721181"/>
                    </a:xfrm>
                    <a:prstGeom prst="rect"/>
                  </pic:spPr>
                </pic:pic>
              </a:graphicData>
            </a:graphic>
          </wp:inline>
        </w:drawing>
      </w:r>
    </w:p>
    <w:p>
      <w:pPr>
        <w:spacing w:after="240"/>
        <w:jc w:val="center"/>
      </w:pPr>
      <w:r>
        <w:rPr>
          <w:rFonts w:ascii="Times New Roman" w:hAnsi="Times New Roman"/>
          <w:b w:val="0"/>
          <w:i w:val="0"/>
          <w:sz w:val="22"/>
        </w:rPr>
        <w:t>Şekil 4: Tam model ile piyasa sinyalsiz (Ganyansız) modelin AUC karşılaştırması — Is_Top3</w:t>
      </w:r>
    </w:p>
    <w:p>
      <w:pPr>
        <w:spacing w:after="120"/>
        <w:jc w:val="both"/>
      </w:pPr>
      <w:r>
        <w:rPr>
          <w:rFonts w:ascii="Times New Roman" w:hAnsi="Times New Roman"/>
          <w:b/>
          <w:i w:val="0"/>
          <w:sz w:val="24"/>
        </w:rPr>
        <w:t>Olasılık Kalibrasyonu</w:t>
      </w:r>
    </w:p>
    <w:p>
      <w:pPr>
        <w:spacing w:after="120"/>
        <w:jc w:val="both"/>
      </w:pPr>
      <w:r>
        <w:rPr>
          <w:rFonts w:ascii="Times New Roman" w:hAnsi="Times New Roman"/>
          <w:b w:val="0"/>
          <w:i w:val="0"/>
          <w:sz w:val="24"/>
        </w:rPr>
        <w:t>60.713 at-koşu kaydı üzerindeki OOF olasılıkları incelendiğinde, Is_Winner tahminlerinin neredeyse kusursuz kalibre olduğu (Brier=0.0743, ECE=0.0075) görülmüştür. Buna karşın Is_Top3 tahminleri, üretim modelinde kullanılan sınıf-dengeleme (class-balancing) mekanizmaları nedeniyle yüksek-olasılık bölgesinde aşırı güvenli (over-confident) çıkmıştır (Brier=0.1730, ECE=0.1340); örneğin model %74.9 dediğinde gerçek isabet oranı yalnızca %58.4'tür (Tablo 7, Şekil 5-6). Bu nedenle üretim zincirine, OOF üzerinde öğrenilen izotonik (isotonic) regresyon kalibratörü eklenmiştir [12]: monoton olduğundan sıralama metriklerini (AUC, P@1) değiştirmez; kalibrasyon sonrası ECE her iki hedefte 0.000'a inmiş (Is_Top3 Brier 0.1730→0.1523), beklenen-değer (EV) hesapları gerçekçi olasılıklarla beslenir hale gelmiştir.</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9072"/>
            <w:gridSpan w:val="6"/>
            <w:vAlign w:val="center"/>
          </w:tcPr>
          <w:p>
            <w:pPr>
              <w:jc w:val="center"/>
            </w:pPr>
            <w:r/>
            <w:r>
              <w:rPr>
                <w:rFonts w:ascii="Times New Roman" w:hAnsi="Times New Roman"/>
                <w:b/>
                <w:i w:val="0"/>
                <w:sz w:val="22"/>
              </w:rPr>
              <w:t>Tablo 7: Olasılık Kalibrasyonu (OOF, 60.713 at-koşu kaydı)</w:t>
            </w:r>
          </w:p>
        </w:tc>
      </w:tr>
      <w:tr>
        <w:tc>
          <w:tcPr>
            <w:tcW w:type="dxa" w:w="1512"/>
            <w:vAlign w:val="center"/>
          </w:tcPr>
          <w:p>
            <w:pPr>
              <w:jc w:val="center"/>
            </w:pPr>
            <w:r/>
            <w:r>
              <w:rPr>
                <w:rFonts w:ascii="Times New Roman" w:hAnsi="Times New Roman"/>
                <w:b/>
                <w:i w:val="0"/>
                <w:sz w:val="20"/>
              </w:rPr>
              <w:t>Hedef</w:t>
            </w:r>
          </w:p>
        </w:tc>
        <w:tc>
          <w:tcPr>
            <w:tcW w:type="dxa" w:w="1512"/>
            <w:vAlign w:val="center"/>
          </w:tcPr>
          <w:p>
            <w:pPr>
              <w:jc w:val="center"/>
            </w:pPr>
            <w:r/>
            <w:r>
              <w:rPr>
                <w:rFonts w:ascii="Times New Roman" w:hAnsi="Times New Roman"/>
                <w:b/>
                <w:i w:val="0"/>
                <w:sz w:val="20"/>
              </w:rPr>
              <w:t>Brier (ham)</w:t>
            </w:r>
          </w:p>
        </w:tc>
        <w:tc>
          <w:tcPr>
            <w:tcW w:type="dxa" w:w="1512"/>
            <w:vAlign w:val="center"/>
          </w:tcPr>
          <w:p>
            <w:pPr>
              <w:jc w:val="center"/>
            </w:pPr>
            <w:r/>
            <w:r>
              <w:rPr>
                <w:rFonts w:ascii="Times New Roman" w:hAnsi="Times New Roman"/>
                <w:b/>
                <w:i w:val="0"/>
                <w:sz w:val="20"/>
              </w:rPr>
              <w:t>ECE (ham)</w:t>
            </w:r>
          </w:p>
        </w:tc>
        <w:tc>
          <w:tcPr>
            <w:tcW w:type="dxa" w:w="1512"/>
            <w:vAlign w:val="center"/>
          </w:tcPr>
          <w:p>
            <w:pPr>
              <w:jc w:val="center"/>
            </w:pPr>
            <w:r/>
            <w:r>
              <w:rPr>
                <w:rFonts w:ascii="Times New Roman" w:hAnsi="Times New Roman"/>
                <w:b/>
                <w:i w:val="0"/>
                <w:sz w:val="20"/>
              </w:rPr>
              <w:t>ECE (isotonic)</w:t>
            </w:r>
          </w:p>
        </w:tc>
        <w:tc>
          <w:tcPr>
            <w:tcW w:type="dxa" w:w="1512"/>
            <w:vAlign w:val="center"/>
          </w:tcPr>
          <w:p>
            <w:pPr>
              <w:jc w:val="center"/>
            </w:pPr>
            <w:r/>
            <w:r>
              <w:rPr>
                <w:rFonts w:ascii="Times New Roman" w:hAnsi="Times New Roman"/>
                <w:b/>
                <w:i w:val="0"/>
                <w:sz w:val="20"/>
              </w:rPr>
              <w:t>Taban Oran</w:t>
            </w:r>
          </w:p>
        </w:tc>
        <w:tc>
          <w:tcPr>
            <w:tcW w:type="dxa" w:w="1512"/>
            <w:vAlign w:val="center"/>
          </w:tcPr>
          <w:p>
            <w:pPr>
              <w:jc w:val="center"/>
            </w:pPr>
            <w:r/>
            <w:r>
              <w:rPr>
                <w:rFonts w:ascii="Times New Roman" w:hAnsi="Times New Roman"/>
                <w:b/>
                <w:i w:val="0"/>
                <w:sz w:val="20"/>
              </w:rPr>
              <w:t>Yorum</w:t>
            </w:r>
          </w:p>
        </w:tc>
      </w:tr>
      <w:tr>
        <w:tc>
          <w:tcPr>
            <w:tcW w:type="dxa" w:w="1512"/>
            <w:vAlign w:val="center"/>
          </w:tcPr>
          <w:p>
            <w:pPr>
              <w:jc w:val="center"/>
            </w:pPr>
            <w:r/>
            <w:r>
              <w:rPr>
                <w:rFonts w:ascii="Times New Roman" w:hAnsi="Times New Roman"/>
                <w:b w:val="0"/>
                <w:i w:val="0"/>
                <w:sz w:val="20"/>
              </w:rPr>
              <w:t>Is_Winner</w:t>
            </w:r>
          </w:p>
        </w:tc>
        <w:tc>
          <w:tcPr>
            <w:tcW w:type="dxa" w:w="1512"/>
            <w:vAlign w:val="center"/>
          </w:tcPr>
          <w:p>
            <w:pPr>
              <w:jc w:val="center"/>
            </w:pPr>
            <w:r/>
            <w:r>
              <w:rPr>
                <w:rFonts w:ascii="Times New Roman" w:hAnsi="Times New Roman"/>
                <w:b w:val="0"/>
                <w:i w:val="0"/>
                <w:sz w:val="20"/>
              </w:rPr>
              <w:t>0.0743</w:t>
            </w:r>
          </w:p>
        </w:tc>
        <w:tc>
          <w:tcPr>
            <w:tcW w:type="dxa" w:w="1512"/>
            <w:vAlign w:val="center"/>
          </w:tcPr>
          <w:p>
            <w:pPr>
              <w:jc w:val="center"/>
            </w:pPr>
            <w:r/>
            <w:r>
              <w:rPr>
                <w:rFonts w:ascii="Times New Roman" w:hAnsi="Times New Roman"/>
                <w:b w:val="0"/>
                <w:i w:val="0"/>
                <w:sz w:val="20"/>
              </w:rPr>
              <w:t>0.0075</w:t>
            </w:r>
          </w:p>
        </w:tc>
        <w:tc>
          <w:tcPr>
            <w:tcW w:type="dxa" w:w="1512"/>
            <w:vAlign w:val="center"/>
          </w:tcPr>
          <w:p>
            <w:pPr>
              <w:jc w:val="center"/>
            </w:pPr>
            <w:r/>
            <w:r>
              <w:rPr>
                <w:rFonts w:ascii="Times New Roman" w:hAnsi="Times New Roman"/>
                <w:b w:val="0"/>
                <w:i w:val="0"/>
                <w:sz w:val="20"/>
              </w:rPr>
              <w:t>0.000</w:t>
            </w:r>
          </w:p>
        </w:tc>
        <w:tc>
          <w:tcPr>
            <w:tcW w:type="dxa" w:w="1512"/>
            <w:vAlign w:val="center"/>
          </w:tcPr>
          <w:p>
            <w:pPr>
              <w:jc w:val="center"/>
            </w:pPr>
            <w:r/>
            <w:r>
              <w:rPr>
                <w:rFonts w:ascii="Times New Roman" w:hAnsi="Times New Roman"/>
                <w:b w:val="0"/>
                <w:i w:val="0"/>
                <w:sz w:val="20"/>
              </w:rPr>
              <w:t>%10.0</w:t>
            </w:r>
          </w:p>
        </w:tc>
        <w:tc>
          <w:tcPr>
            <w:tcW w:type="dxa" w:w="1512"/>
            <w:vAlign w:val="center"/>
          </w:tcPr>
          <w:p>
            <w:pPr>
              <w:jc w:val="center"/>
            </w:pPr>
            <w:r/>
            <w:r>
              <w:rPr>
                <w:rFonts w:ascii="Times New Roman" w:hAnsi="Times New Roman"/>
                <w:b w:val="0"/>
                <w:i w:val="0"/>
                <w:sz w:val="20"/>
              </w:rPr>
              <w:t>Neredeyse kusursuz kalibre</w:t>
            </w:r>
          </w:p>
        </w:tc>
      </w:tr>
      <w:tr>
        <w:tc>
          <w:tcPr>
            <w:tcW w:type="dxa" w:w="1512"/>
            <w:vAlign w:val="center"/>
          </w:tcPr>
          <w:p>
            <w:pPr>
              <w:jc w:val="center"/>
            </w:pPr>
            <w:r/>
            <w:r>
              <w:rPr>
                <w:rFonts w:ascii="Times New Roman" w:hAnsi="Times New Roman"/>
                <w:b w:val="0"/>
                <w:i w:val="0"/>
                <w:sz w:val="20"/>
              </w:rPr>
              <w:t>Is_Top3</w:t>
            </w:r>
          </w:p>
        </w:tc>
        <w:tc>
          <w:tcPr>
            <w:tcW w:type="dxa" w:w="1512"/>
            <w:vAlign w:val="center"/>
          </w:tcPr>
          <w:p>
            <w:pPr>
              <w:jc w:val="center"/>
            </w:pPr>
            <w:r/>
            <w:r>
              <w:rPr>
                <w:rFonts w:ascii="Times New Roman" w:hAnsi="Times New Roman"/>
                <w:b w:val="0"/>
                <w:i w:val="0"/>
                <w:sz w:val="20"/>
              </w:rPr>
              <w:t>0.1730</w:t>
            </w:r>
          </w:p>
        </w:tc>
        <w:tc>
          <w:tcPr>
            <w:tcW w:type="dxa" w:w="1512"/>
            <w:vAlign w:val="center"/>
          </w:tcPr>
          <w:p>
            <w:pPr>
              <w:jc w:val="center"/>
            </w:pPr>
            <w:r/>
            <w:r>
              <w:rPr>
                <w:rFonts w:ascii="Times New Roman" w:hAnsi="Times New Roman"/>
                <w:b w:val="0"/>
                <w:i w:val="0"/>
                <w:sz w:val="20"/>
              </w:rPr>
              <w:t>0.1340</w:t>
            </w:r>
          </w:p>
        </w:tc>
        <w:tc>
          <w:tcPr>
            <w:tcW w:type="dxa" w:w="1512"/>
            <w:vAlign w:val="center"/>
          </w:tcPr>
          <w:p>
            <w:pPr>
              <w:jc w:val="center"/>
            </w:pPr>
            <w:r/>
            <w:r>
              <w:rPr>
                <w:rFonts w:ascii="Times New Roman" w:hAnsi="Times New Roman"/>
                <w:b w:val="0"/>
                <w:i w:val="0"/>
                <w:sz w:val="20"/>
              </w:rPr>
              <w:t>0.000</w:t>
            </w:r>
          </w:p>
        </w:tc>
        <w:tc>
          <w:tcPr>
            <w:tcW w:type="dxa" w:w="1512"/>
            <w:vAlign w:val="center"/>
          </w:tcPr>
          <w:p>
            <w:pPr>
              <w:jc w:val="center"/>
            </w:pPr>
            <w:r/>
            <w:r>
              <w:rPr>
                <w:rFonts w:ascii="Times New Roman" w:hAnsi="Times New Roman"/>
                <w:b w:val="0"/>
                <w:i w:val="0"/>
                <w:sz w:val="20"/>
              </w:rPr>
              <w:t>%30.1</w:t>
            </w:r>
          </w:p>
        </w:tc>
        <w:tc>
          <w:tcPr>
            <w:tcW w:type="dxa" w:w="1512"/>
            <w:vAlign w:val="center"/>
          </w:tcPr>
          <w:p>
            <w:pPr>
              <w:jc w:val="center"/>
            </w:pPr>
            <w:r/>
            <w:r>
              <w:rPr>
                <w:rFonts w:ascii="Times New Roman" w:hAnsi="Times New Roman"/>
                <w:b w:val="0"/>
                <w:i w:val="0"/>
                <w:sz w:val="20"/>
              </w:rPr>
              <w:t>Aşırı güvenli → isotonic ile düzeltildi</w:t>
            </w:r>
          </w:p>
        </w:tc>
      </w:tr>
    </w:tbl>
    <w:p/>
    <w:p>
      <w:pPr>
        <w:jc w:val="center"/>
      </w:pPr>
      <w:r>
        <w:drawing>
          <wp:inline xmlns:a="http://schemas.openxmlformats.org/drawingml/2006/main" xmlns:pic="http://schemas.openxmlformats.org/drawingml/2006/picture">
            <wp:extent cx="5040000" cy="4877419"/>
            <wp:docPr id="5" name="Picture 5"/>
            <wp:cNvGraphicFramePr>
              <a:graphicFrameLocks noChangeAspect="1"/>
            </wp:cNvGraphicFramePr>
            <a:graphic>
              <a:graphicData uri="http://schemas.openxmlformats.org/drawingml/2006/picture">
                <pic:pic>
                  <pic:nvPicPr>
                    <pic:cNvPr id="0" name="calibration_is_winner.png"/>
                    <pic:cNvPicPr/>
                  </pic:nvPicPr>
                  <pic:blipFill>
                    <a:blip r:embed="rId14"/>
                    <a:stretch>
                      <a:fillRect/>
                    </a:stretch>
                  </pic:blipFill>
                  <pic:spPr>
                    <a:xfrm>
                      <a:off x="0" y="0"/>
                      <a:ext cx="5040000" cy="4877419"/>
                    </a:xfrm>
                    <a:prstGeom prst="rect"/>
                  </pic:spPr>
                </pic:pic>
              </a:graphicData>
            </a:graphic>
          </wp:inline>
        </w:drawing>
      </w:r>
    </w:p>
    <w:p>
      <w:pPr>
        <w:spacing w:after="240"/>
        <w:jc w:val="center"/>
      </w:pPr>
      <w:r>
        <w:rPr>
          <w:rFonts w:ascii="Times New Roman" w:hAnsi="Times New Roman"/>
          <w:b w:val="0"/>
          <w:i w:val="0"/>
          <w:sz w:val="22"/>
        </w:rPr>
        <w:t>Şekil 5: Güvenilirlik diyagramı (reliability diagram) — Is_Winner</w:t>
      </w:r>
    </w:p>
    <w:p>
      <w:pPr>
        <w:jc w:val="center"/>
      </w:pPr>
      <w:r>
        <w:drawing>
          <wp:inline xmlns:a="http://schemas.openxmlformats.org/drawingml/2006/main" xmlns:pic="http://schemas.openxmlformats.org/drawingml/2006/picture">
            <wp:extent cx="5040000" cy="4877419"/>
            <wp:docPr id="6" name="Picture 6"/>
            <wp:cNvGraphicFramePr>
              <a:graphicFrameLocks noChangeAspect="1"/>
            </wp:cNvGraphicFramePr>
            <a:graphic>
              <a:graphicData uri="http://schemas.openxmlformats.org/drawingml/2006/picture">
                <pic:pic>
                  <pic:nvPicPr>
                    <pic:cNvPr id="0" name="calibration_is_top3.png"/>
                    <pic:cNvPicPr/>
                  </pic:nvPicPr>
                  <pic:blipFill>
                    <a:blip r:embed="rId15"/>
                    <a:stretch>
                      <a:fillRect/>
                    </a:stretch>
                  </pic:blipFill>
                  <pic:spPr>
                    <a:xfrm>
                      <a:off x="0" y="0"/>
                      <a:ext cx="5040000" cy="4877419"/>
                    </a:xfrm>
                    <a:prstGeom prst="rect"/>
                  </pic:spPr>
                </pic:pic>
              </a:graphicData>
            </a:graphic>
          </wp:inline>
        </w:drawing>
      </w:r>
    </w:p>
    <w:p>
      <w:pPr>
        <w:spacing w:after="240"/>
        <w:jc w:val="center"/>
      </w:pPr>
      <w:r>
        <w:rPr>
          <w:rFonts w:ascii="Times New Roman" w:hAnsi="Times New Roman"/>
          <w:b w:val="0"/>
          <w:i w:val="0"/>
          <w:sz w:val="22"/>
        </w:rPr>
        <w:t>Şekil 6: Güvenilirlik diyagramı (reliability diagram) — Is_Top3</w:t>
      </w:r>
    </w:p>
    <w:p>
      <w:pPr>
        <w:spacing w:after="120"/>
        <w:jc w:val="both"/>
      </w:pPr>
      <w:r>
        <w:rPr>
          <w:rFonts w:ascii="Times New Roman" w:hAnsi="Times New Roman"/>
          <w:b/>
          <w:i w:val="0"/>
          <w:sz w:val="24"/>
        </w:rPr>
        <w:t>Model vs Piyasa — Bahis Kenarı (McNemar) ve Ganyan Kasası</w:t>
      </w:r>
    </w:p>
    <w:p>
      <w:pPr>
        <w:spacing w:after="120"/>
        <w:jc w:val="both"/>
      </w:pPr>
      <w:r>
        <w:rPr>
          <w:rFonts w:ascii="Times New Roman" w:hAnsi="Times New Roman"/>
          <w:b w:val="0"/>
          <w:i w:val="0"/>
          <w:sz w:val="24"/>
        </w:rPr>
        <w:t>6.085 koşuluk sızıntısız test kümesinde, modelin doğal seçiminin (olasılığa göre ilk-k) piyasanın doğal seçimine (favori sırası) kıyasla isabet oranı, herhangi bir ödeme varsayımı yapılmadan karşılaştırılmıştır (Tablo 8). Model altı bahis türünün tamamında piyasayı sayısal olarak geçmiş, fark beş türde McNemar exact testiyle istatistiksel olarak anlamlı bulunmuştur (p&lt;0.05; tek istisna en seyrek isabet eden Tabela, p=0.33); en güçlü sonuç Ganyan'da elde edilmiştir (model %39.0 - piyasa %32.2, Δ=+6.7 puan, p=9.6×10⁻³²). Yalnızca Ganyan bahsinde veride gerçek (piyasa-bağımsız) ödeme bilgisi bulunduğundan, bu türde dairesel olmayan tek güvenilir kasa simülasyonu kurulabilmiştir: 707 pozitif-EV bahisten %36.1 isabetle, flat strateji 1.000 TL'yi 10.016 TL'ye çıkarmıştır (stake başına ROI=+%127.5; Tablo 9, Şekil 7). Ancak modelin önceki sürümünün canlı forward-test'inde (18 koşu, gerçek ödemelerle) Ganyan ROI'si yaklaşık -%36 olarak gözlenmiştir; bu fark, geçmiş OOF backtest'inin iyimser olabileceğini ve gerçek hakemin forward-test olduğunu göstermektedir (bu revizyonla forward-test sayacı temiz koşullarda yeniden başlatılmıştır). Egzotik bahis türleri (İkili, Sıralı İkili, Üçlü, Tabela) için geçmiş ödeme verisi bulunmadığından bu türlerin ROI'si yalnızca piyasa-ima yöntemiyle gösterge niteliğinde hesaplanabilmiş ve dairesel olduğu için literal TL değeri olarak yorumlanmamalıdır; bu türler için de McNemar sonucu (Tablo 8) tek dairesel-olmayan kanıttır.</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9070"/>
            <w:gridSpan w:val="5"/>
            <w:vAlign w:val="center"/>
          </w:tcPr>
          <w:p>
            <w:pPr>
              <w:jc w:val="center"/>
            </w:pPr>
            <w:r/>
            <w:r>
              <w:rPr>
                <w:rFonts w:ascii="Times New Roman" w:hAnsi="Times New Roman"/>
                <w:b/>
                <w:i w:val="0"/>
                <w:sz w:val="22"/>
              </w:rPr>
              <w:t>Tablo 8: Model vs Piyasa Seçim İsabeti — McNemar Exact Testi (n=6.085 koşu)</w:t>
            </w:r>
          </w:p>
        </w:tc>
      </w:tr>
      <w:tr>
        <w:tc>
          <w:tcPr>
            <w:tcW w:type="dxa" w:w="1814"/>
            <w:vAlign w:val="center"/>
          </w:tcPr>
          <w:p>
            <w:pPr>
              <w:jc w:val="center"/>
            </w:pPr>
            <w:r/>
            <w:r>
              <w:rPr>
                <w:rFonts w:ascii="Times New Roman" w:hAnsi="Times New Roman"/>
                <w:b/>
                <w:i w:val="0"/>
                <w:sz w:val="20"/>
              </w:rPr>
              <w:t>Bahis Türü</w:t>
            </w:r>
          </w:p>
        </w:tc>
        <w:tc>
          <w:tcPr>
            <w:tcW w:type="dxa" w:w="1814"/>
            <w:vAlign w:val="center"/>
          </w:tcPr>
          <w:p>
            <w:pPr>
              <w:jc w:val="center"/>
            </w:pPr>
            <w:r/>
            <w:r>
              <w:rPr>
                <w:rFonts w:ascii="Times New Roman" w:hAnsi="Times New Roman"/>
                <w:b/>
                <w:i w:val="0"/>
                <w:sz w:val="20"/>
              </w:rPr>
              <w:t>Model İsabet</w:t>
            </w:r>
          </w:p>
        </w:tc>
        <w:tc>
          <w:tcPr>
            <w:tcW w:type="dxa" w:w="1814"/>
            <w:vAlign w:val="center"/>
          </w:tcPr>
          <w:p>
            <w:pPr>
              <w:jc w:val="center"/>
            </w:pPr>
            <w:r/>
            <w:r>
              <w:rPr>
                <w:rFonts w:ascii="Times New Roman" w:hAnsi="Times New Roman"/>
                <w:b/>
                <w:i w:val="0"/>
                <w:sz w:val="20"/>
              </w:rPr>
              <w:t>Piyasa İsabet</w:t>
            </w:r>
          </w:p>
        </w:tc>
        <w:tc>
          <w:tcPr>
            <w:tcW w:type="dxa" w:w="1814"/>
            <w:vAlign w:val="center"/>
          </w:tcPr>
          <w:p>
            <w:pPr>
              <w:jc w:val="center"/>
            </w:pPr>
            <w:r/>
            <w:r>
              <w:rPr>
                <w:rFonts w:ascii="Times New Roman" w:hAnsi="Times New Roman"/>
                <w:b/>
                <w:i w:val="0"/>
                <w:sz w:val="20"/>
              </w:rPr>
              <w:t>Δ (puan)</w:t>
            </w:r>
          </w:p>
        </w:tc>
        <w:tc>
          <w:tcPr>
            <w:tcW w:type="dxa" w:w="1814"/>
            <w:vAlign w:val="center"/>
          </w:tcPr>
          <w:p>
            <w:pPr>
              <w:jc w:val="center"/>
            </w:pPr>
            <w:r/>
            <w:r>
              <w:rPr>
                <w:rFonts w:ascii="Times New Roman" w:hAnsi="Times New Roman"/>
                <w:b/>
                <w:i w:val="0"/>
                <w:sz w:val="20"/>
              </w:rPr>
              <w:t>McNemar p</w:t>
            </w:r>
          </w:p>
        </w:tc>
      </w:tr>
      <w:tr>
        <w:tc>
          <w:tcPr>
            <w:tcW w:type="dxa" w:w="1814"/>
            <w:vAlign w:val="center"/>
          </w:tcPr>
          <w:p>
            <w:pPr>
              <w:jc w:val="center"/>
            </w:pPr>
            <w:r/>
            <w:r>
              <w:rPr>
                <w:rFonts w:ascii="Times New Roman" w:hAnsi="Times New Roman"/>
                <w:b w:val="0"/>
                <w:i w:val="0"/>
                <w:sz w:val="20"/>
              </w:rPr>
              <w:t>Ganyan</w:t>
            </w:r>
          </w:p>
        </w:tc>
        <w:tc>
          <w:tcPr>
            <w:tcW w:type="dxa" w:w="1814"/>
            <w:vAlign w:val="center"/>
          </w:tcPr>
          <w:p>
            <w:pPr>
              <w:jc w:val="center"/>
            </w:pPr>
            <w:r/>
            <w:r>
              <w:rPr>
                <w:rFonts w:ascii="Times New Roman" w:hAnsi="Times New Roman"/>
                <w:b w:val="0"/>
                <w:i w:val="0"/>
                <w:sz w:val="20"/>
              </w:rPr>
              <w:t>%39.0</w:t>
            </w:r>
          </w:p>
        </w:tc>
        <w:tc>
          <w:tcPr>
            <w:tcW w:type="dxa" w:w="1814"/>
            <w:vAlign w:val="center"/>
          </w:tcPr>
          <w:p>
            <w:pPr>
              <w:jc w:val="center"/>
            </w:pPr>
            <w:r/>
            <w:r>
              <w:rPr>
                <w:rFonts w:ascii="Times New Roman" w:hAnsi="Times New Roman"/>
                <w:b w:val="0"/>
                <w:i w:val="0"/>
                <w:sz w:val="20"/>
              </w:rPr>
              <w:t>%32.2</w:t>
            </w:r>
          </w:p>
        </w:tc>
        <w:tc>
          <w:tcPr>
            <w:tcW w:type="dxa" w:w="1814"/>
            <w:vAlign w:val="center"/>
          </w:tcPr>
          <w:p>
            <w:pPr>
              <w:jc w:val="center"/>
            </w:pPr>
            <w:r/>
            <w:r>
              <w:rPr>
                <w:rFonts w:ascii="Times New Roman" w:hAnsi="Times New Roman"/>
                <w:b w:val="0"/>
                <w:i w:val="0"/>
                <w:sz w:val="20"/>
              </w:rPr>
              <w:t>+6.7</w:t>
            </w:r>
          </w:p>
        </w:tc>
        <w:tc>
          <w:tcPr>
            <w:tcW w:type="dxa" w:w="1814"/>
            <w:vAlign w:val="center"/>
          </w:tcPr>
          <w:p>
            <w:pPr>
              <w:jc w:val="center"/>
            </w:pPr>
            <w:r/>
            <w:r>
              <w:rPr>
                <w:rFonts w:ascii="Times New Roman" w:hAnsi="Times New Roman"/>
                <w:b w:val="0"/>
                <w:i w:val="0"/>
                <w:sz w:val="20"/>
              </w:rPr>
              <w:t>9.6×10⁻³²</w:t>
            </w:r>
          </w:p>
        </w:tc>
      </w:tr>
      <w:tr>
        <w:tc>
          <w:tcPr>
            <w:tcW w:type="dxa" w:w="1814"/>
            <w:vAlign w:val="center"/>
          </w:tcPr>
          <w:p>
            <w:pPr>
              <w:jc w:val="center"/>
            </w:pPr>
            <w:r/>
            <w:r>
              <w:rPr>
                <w:rFonts w:ascii="Times New Roman" w:hAnsi="Times New Roman"/>
                <w:b w:val="0"/>
                <w:i w:val="0"/>
                <w:sz w:val="20"/>
              </w:rPr>
              <w:t>Plase</w:t>
            </w:r>
          </w:p>
        </w:tc>
        <w:tc>
          <w:tcPr>
            <w:tcW w:type="dxa" w:w="1814"/>
            <w:vAlign w:val="center"/>
          </w:tcPr>
          <w:p>
            <w:pPr>
              <w:jc w:val="center"/>
            </w:pPr>
            <w:r/>
            <w:r>
              <w:rPr>
                <w:rFonts w:ascii="Times New Roman" w:hAnsi="Times New Roman"/>
                <w:b w:val="0"/>
                <w:i w:val="0"/>
                <w:sz w:val="20"/>
              </w:rPr>
              <w:t>%74.9</w:t>
            </w:r>
          </w:p>
        </w:tc>
        <w:tc>
          <w:tcPr>
            <w:tcW w:type="dxa" w:w="1814"/>
            <w:vAlign w:val="center"/>
          </w:tcPr>
          <w:p>
            <w:pPr>
              <w:jc w:val="center"/>
            </w:pPr>
            <w:r/>
            <w:r>
              <w:rPr>
                <w:rFonts w:ascii="Times New Roman" w:hAnsi="Times New Roman"/>
                <w:b w:val="0"/>
                <w:i w:val="0"/>
                <w:sz w:val="20"/>
              </w:rPr>
              <w:t>%68.6</w:t>
            </w:r>
          </w:p>
        </w:tc>
        <w:tc>
          <w:tcPr>
            <w:tcW w:type="dxa" w:w="1814"/>
            <w:vAlign w:val="center"/>
          </w:tcPr>
          <w:p>
            <w:pPr>
              <w:jc w:val="center"/>
            </w:pPr>
            <w:r/>
            <w:r>
              <w:rPr>
                <w:rFonts w:ascii="Times New Roman" w:hAnsi="Times New Roman"/>
                <w:b w:val="0"/>
                <w:i w:val="0"/>
                <w:sz w:val="20"/>
              </w:rPr>
              <w:t>+6.3</w:t>
            </w:r>
          </w:p>
        </w:tc>
        <w:tc>
          <w:tcPr>
            <w:tcW w:type="dxa" w:w="1814"/>
            <w:vAlign w:val="center"/>
          </w:tcPr>
          <w:p>
            <w:pPr>
              <w:jc w:val="center"/>
            </w:pPr>
            <w:r/>
            <w:r>
              <w:rPr>
                <w:rFonts w:ascii="Times New Roman" w:hAnsi="Times New Roman"/>
                <w:b w:val="0"/>
                <w:i w:val="0"/>
                <w:sz w:val="20"/>
              </w:rPr>
              <w:t>7.3×10⁻³⁰</w:t>
            </w:r>
          </w:p>
        </w:tc>
      </w:tr>
      <w:tr>
        <w:tc>
          <w:tcPr>
            <w:tcW w:type="dxa" w:w="1814"/>
            <w:vAlign w:val="center"/>
          </w:tcPr>
          <w:p>
            <w:pPr>
              <w:jc w:val="center"/>
            </w:pPr>
            <w:r/>
            <w:r>
              <w:rPr>
                <w:rFonts w:ascii="Times New Roman" w:hAnsi="Times New Roman"/>
                <w:b w:val="0"/>
                <w:i w:val="0"/>
                <w:sz w:val="20"/>
              </w:rPr>
              <w:t>İkili</w:t>
            </w:r>
          </w:p>
        </w:tc>
        <w:tc>
          <w:tcPr>
            <w:tcW w:type="dxa" w:w="1814"/>
            <w:vAlign w:val="center"/>
          </w:tcPr>
          <w:p>
            <w:pPr>
              <w:jc w:val="center"/>
            </w:pPr>
            <w:r/>
            <w:r>
              <w:rPr>
                <w:rFonts w:ascii="Times New Roman" w:hAnsi="Times New Roman"/>
                <w:b w:val="0"/>
                <w:i w:val="0"/>
                <w:sz w:val="20"/>
              </w:rPr>
              <w:t>%20.8</w:t>
            </w:r>
          </w:p>
        </w:tc>
        <w:tc>
          <w:tcPr>
            <w:tcW w:type="dxa" w:w="1814"/>
            <w:vAlign w:val="center"/>
          </w:tcPr>
          <w:p>
            <w:pPr>
              <w:jc w:val="center"/>
            </w:pPr>
            <w:r/>
            <w:r>
              <w:rPr>
                <w:rFonts w:ascii="Times New Roman" w:hAnsi="Times New Roman"/>
                <w:b w:val="0"/>
                <w:i w:val="0"/>
                <w:sz w:val="20"/>
              </w:rPr>
              <w:t>%17.0</w:t>
            </w:r>
          </w:p>
        </w:tc>
        <w:tc>
          <w:tcPr>
            <w:tcW w:type="dxa" w:w="1814"/>
            <w:vAlign w:val="center"/>
          </w:tcPr>
          <w:p>
            <w:pPr>
              <w:jc w:val="center"/>
            </w:pPr>
            <w:r/>
            <w:r>
              <w:rPr>
                <w:rFonts w:ascii="Times New Roman" w:hAnsi="Times New Roman"/>
                <w:b w:val="0"/>
                <w:i w:val="0"/>
                <w:sz w:val="20"/>
              </w:rPr>
              <w:t>+3.8</w:t>
            </w:r>
          </w:p>
        </w:tc>
        <w:tc>
          <w:tcPr>
            <w:tcW w:type="dxa" w:w="1814"/>
            <w:vAlign w:val="center"/>
          </w:tcPr>
          <w:p>
            <w:pPr>
              <w:jc w:val="center"/>
            </w:pPr>
            <w:r/>
            <w:r>
              <w:rPr>
                <w:rFonts w:ascii="Times New Roman" w:hAnsi="Times New Roman"/>
                <w:b w:val="0"/>
                <w:i w:val="0"/>
                <w:sz w:val="20"/>
              </w:rPr>
              <w:t>1.5×10⁻¹⁴</w:t>
            </w:r>
          </w:p>
        </w:tc>
      </w:tr>
      <w:tr>
        <w:tc>
          <w:tcPr>
            <w:tcW w:type="dxa" w:w="1814"/>
            <w:vAlign w:val="center"/>
          </w:tcPr>
          <w:p>
            <w:pPr>
              <w:jc w:val="center"/>
            </w:pPr>
            <w:r/>
            <w:r>
              <w:rPr>
                <w:rFonts w:ascii="Times New Roman" w:hAnsi="Times New Roman"/>
                <w:b w:val="0"/>
                <w:i w:val="0"/>
                <w:sz w:val="20"/>
              </w:rPr>
              <w:t>Sıralı İkili</w:t>
            </w:r>
          </w:p>
        </w:tc>
        <w:tc>
          <w:tcPr>
            <w:tcW w:type="dxa" w:w="1814"/>
            <w:vAlign w:val="center"/>
          </w:tcPr>
          <w:p>
            <w:pPr>
              <w:jc w:val="center"/>
            </w:pPr>
            <w:r/>
            <w:r>
              <w:rPr>
                <w:rFonts w:ascii="Times New Roman" w:hAnsi="Times New Roman"/>
                <w:b w:val="0"/>
                <w:i w:val="0"/>
                <w:sz w:val="20"/>
              </w:rPr>
              <w:t>%12.0</w:t>
            </w:r>
          </w:p>
        </w:tc>
        <w:tc>
          <w:tcPr>
            <w:tcW w:type="dxa" w:w="1814"/>
            <w:vAlign w:val="center"/>
          </w:tcPr>
          <w:p>
            <w:pPr>
              <w:jc w:val="center"/>
            </w:pPr>
            <w:r/>
            <w:r>
              <w:rPr>
                <w:rFonts w:ascii="Times New Roman" w:hAnsi="Times New Roman"/>
                <w:b w:val="0"/>
                <w:i w:val="0"/>
                <w:sz w:val="20"/>
              </w:rPr>
              <w:t>%9.3</w:t>
            </w:r>
          </w:p>
        </w:tc>
        <w:tc>
          <w:tcPr>
            <w:tcW w:type="dxa" w:w="1814"/>
            <w:vAlign w:val="center"/>
          </w:tcPr>
          <w:p>
            <w:pPr>
              <w:jc w:val="center"/>
            </w:pPr>
            <w:r/>
            <w:r>
              <w:rPr>
                <w:rFonts w:ascii="Times New Roman" w:hAnsi="Times New Roman"/>
                <w:b w:val="0"/>
                <w:i w:val="0"/>
                <w:sz w:val="20"/>
              </w:rPr>
              <w:t>+2.7</w:t>
            </w:r>
          </w:p>
        </w:tc>
        <w:tc>
          <w:tcPr>
            <w:tcW w:type="dxa" w:w="1814"/>
            <w:vAlign w:val="center"/>
          </w:tcPr>
          <w:p>
            <w:pPr>
              <w:jc w:val="center"/>
            </w:pPr>
            <w:r/>
            <w:r>
              <w:rPr>
                <w:rFonts w:ascii="Times New Roman" w:hAnsi="Times New Roman"/>
                <w:b w:val="0"/>
                <w:i w:val="0"/>
                <w:sz w:val="20"/>
              </w:rPr>
              <w:t>6.0×10⁻¹⁰</w:t>
            </w:r>
          </w:p>
        </w:tc>
      </w:tr>
      <w:tr>
        <w:tc>
          <w:tcPr>
            <w:tcW w:type="dxa" w:w="1814"/>
            <w:vAlign w:val="center"/>
          </w:tcPr>
          <w:p>
            <w:pPr>
              <w:jc w:val="center"/>
            </w:pPr>
            <w:r/>
            <w:r>
              <w:rPr>
                <w:rFonts w:ascii="Times New Roman" w:hAnsi="Times New Roman"/>
                <w:b w:val="0"/>
                <w:i w:val="0"/>
                <w:sz w:val="20"/>
              </w:rPr>
              <w:t>Üçlü</w:t>
            </w:r>
          </w:p>
        </w:tc>
        <w:tc>
          <w:tcPr>
            <w:tcW w:type="dxa" w:w="1814"/>
            <w:vAlign w:val="center"/>
          </w:tcPr>
          <w:p>
            <w:pPr>
              <w:jc w:val="center"/>
            </w:pPr>
            <w:r/>
            <w:r>
              <w:rPr>
                <w:rFonts w:ascii="Times New Roman" w:hAnsi="Times New Roman"/>
                <w:b w:val="0"/>
                <w:i w:val="0"/>
                <w:sz w:val="20"/>
              </w:rPr>
              <w:t>%3.6</w:t>
            </w:r>
          </w:p>
        </w:tc>
        <w:tc>
          <w:tcPr>
            <w:tcW w:type="dxa" w:w="1814"/>
            <w:vAlign w:val="center"/>
          </w:tcPr>
          <w:p>
            <w:pPr>
              <w:jc w:val="center"/>
            </w:pPr>
            <w:r/>
            <w:r>
              <w:rPr>
                <w:rFonts w:ascii="Times New Roman" w:hAnsi="Times New Roman"/>
                <w:b w:val="0"/>
                <w:i w:val="0"/>
                <w:sz w:val="20"/>
              </w:rPr>
              <w:t>%2.9</w:t>
            </w:r>
          </w:p>
        </w:tc>
        <w:tc>
          <w:tcPr>
            <w:tcW w:type="dxa" w:w="1814"/>
            <w:vAlign w:val="center"/>
          </w:tcPr>
          <w:p>
            <w:pPr>
              <w:jc w:val="center"/>
            </w:pPr>
            <w:r/>
            <w:r>
              <w:rPr>
                <w:rFonts w:ascii="Times New Roman" w:hAnsi="Times New Roman"/>
                <w:b w:val="0"/>
                <w:i w:val="0"/>
                <w:sz w:val="20"/>
              </w:rPr>
              <w:t>+0.6</w:t>
            </w:r>
          </w:p>
        </w:tc>
        <w:tc>
          <w:tcPr>
            <w:tcW w:type="dxa" w:w="1814"/>
            <w:vAlign w:val="center"/>
          </w:tcPr>
          <w:p>
            <w:pPr>
              <w:jc w:val="center"/>
            </w:pPr>
            <w:r/>
            <w:r>
              <w:rPr>
                <w:rFonts w:ascii="Times New Roman" w:hAnsi="Times New Roman"/>
                <w:b w:val="0"/>
                <w:i w:val="0"/>
                <w:sz w:val="20"/>
              </w:rPr>
              <w:t>1.6×10⁻²</w:t>
            </w:r>
          </w:p>
        </w:tc>
      </w:tr>
      <w:tr>
        <w:tc>
          <w:tcPr>
            <w:tcW w:type="dxa" w:w="1814"/>
            <w:vAlign w:val="center"/>
          </w:tcPr>
          <w:p>
            <w:pPr>
              <w:jc w:val="center"/>
            </w:pPr>
            <w:r/>
            <w:r>
              <w:rPr>
                <w:rFonts w:ascii="Times New Roman" w:hAnsi="Times New Roman"/>
                <w:b w:val="0"/>
                <w:i w:val="0"/>
                <w:sz w:val="20"/>
              </w:rPr>
              <w:t>Tabela</w:t>
            </w:r>
          </w:p>
        </w:tc>
        <w:tc>
          <w:tcPr>
            <w:tcW w:type="dxa" w:w="1814"/>
            <w:vAlign w:val="center"/>
          </w:tcPr>
          <w:p>
            <w:pPr>
              <w:jc w:val="center"/>
            </w:pPr>
            <w:r/>
            <w:r>
              <w:rPr>
                <w:rFonts w:ascii="Times New Roman" w:hAnsi="Times New Roman"/>
                <w:b w:val="0"/>
                <w:i w:val="0"/>
                <w:sz w:val="20"/>
              </w:rPr>
              <w:t>%1.3</w:t>
            </w:r>
          </w:p>
        </w:tc>
        <w:tc>
          <w:tcPr>
            <w:tcW w:type="dxa" w:w="1814"/>
            <w:vAlign w:val="center"/>
          </w:tcPr>
          <w:p>
            <w:pPr>
              <w:jc w:val="center"/>
            </w:pPr>
            <w:r/>
            <w:r>
              <w:rPr>
                <w:rFonts w:ascii="Times New Roman" w:hAnsi="Times New Roman"/>
                <w:b w:val="0"/>
                <w:i w:val="0"/>
                <w:sz w:val="20"/>
              </w:rPr>
              <w:t>%1.1</w:t>
            </w:r>
          </w:p>
        </w:tc>
        <w:tc>
          <w:tcPr>
            <w:tcW w:type="dxa" w:w="1814"/>
            <w:vAlign w:val="center"/>
          </w:tcPr>
          <w:p>
            <w:pPr>
              <w:jc w:val="center"/>
            </w:pPr>
            <w:r/>
            <w:r>
              <w:rPr>
                <w:rFonts w:ascii="Times New Roman" w:hAnsi="Times New Roman"/>
                <w:b w:val="0"/>
                <w:i w:val="0"/>
                <w:sz w:val="20"/>
              </w:rPr>
              <w:t>+0.2</w:t>
            </w:r>
          </w:p>
        </w:tc>
        <w:tc>
          <w:tcPr>
            <w:tcW w:type="dxa" w:w="1814"/>
            <w:vAlign w:val="center"/>
          </w:tcPr>
          <w:p>
            <w:pPr>
              <w:jc w:val="center"/>
            </w:pPr>
            <w:r/>
            <w:r>
              <w:rPr>
                <w:rFonts w:ascii="Times New Roman" w:hAnsi="Times New Roman"/>
                <w:b w:val="0"/>
                <w:i w:val="0"/>
                <w:sz w:val="20"/>
              </w:rPr>
              <w:t>3.3×10⁻¹ (anlamsız)</w:t>
            </w:r>
          </w:p>
        </w:tc>
      </w:tr>
    </w:tbl>
    <w:p/>
    <w:tbl>
      <w:tblPr>
        <w:tblStyle w:val="TableGrid"/>
        <w:tblW w:type="auto" w:w="0"/>
        <w:tblLook w:firstColumn="1" w:firstRow="1" w:lastColumn="0" w:lastRow="0" w:noHBand="0" w:noVBand="1" w:val="04A0"/>
      </w:tblPr>
      <w:tblGrid>
        <w:gridCol w:w="3024"/>
        <w:gridCol w:w="3024"/>
        <w:gridCol w:w="3024"/>
      </w:tblGrid>
      <w:tr>
        <w:tc>
          <w:tcPr>
            <w:tcW w:type="dxa" w:w="9072"/>
            <w:gridSpan w:val="3"/>
            <w:vAlign w:val="center"/>
          </w:tcPr>
          <w:p>
            <w:pPr>
              <w:jc w:val="center"/>
            </w:pPr>
            <w:r/>
            <w:r>
              <w:rPr>
                <w:rFonts w:ascii="Times New Roman" w:hAnsi="Times New Roman"/>
                <w:b/>
                <w:i w:val="0"/>
                <w:sz w:val="22"/>
              </w:rPr>
              <w:t>Tablo 9: Ganyan Kasası — Gerçek Oranla Backtest vs Forward-Test</w:t>
            </w:r>
          </w:p>
        </w:tc>
      </w:tr>
      <w:tr>
        <w:tc>
          <w:tcPr>
            <w:tcW w:type="dxa" w:w="3024"/>
            <w:vAlign w:val="center"/>
          </w:tcPr>
          <w:p>
            <w:pPr>
              <w:jc w:val="center"/>
            </w:pPr>
            <w:r/>
            <w:r>
              <w:rPr>
                <w:rFonts w:ascii="Times New Roman" w:hAnsi="Times New Roman"/>
                <w:b/>
                <w:i w:val="0"/>
                <w:sz w:val="20"/>
              </w:rPr>
              <w:t>Ölçüm</w:t>
            </w:r>
          </w:p>
        </w:tc>
        <w:tc>
          <w:tcPr>
            <w:tcW w:type="dxa" w:w="3024"/>
            <w:vAlign w:val="center"/>
          </w:tcPr>
          <w:p>
            <w:pPr>
              <w:jc w:val="center"/>
            </w:pPr>
            <w:r/>
            <w:r>
              <w:rPr>
                <w:rFonts w:ascii="Times New Roman" w:hAnsi="Times New Roman"/>
                <w:b/>
                <w:i w:val="0"/>
                <w:sz w:val="20"/>
              </w:rPr>
              <w:t>Backtest (OOF, 707 bahis)</w:t>
            </w:r>
          </w:p>
        </w:tc>
        <w:tc>
          <w:tcPr>
            <w:tcW w:type="dxa" w:w="3024"/>
            <w:vAlign w:val="center"/>
          </w:tcPr>
          <w:p>
            <w:pPr>
              <w:jc w:val="center"/>
            </w:pPr>
            <w:r/>
            <w:r>
              <w:rPr>
                <w:rFonts w:ascii="Times New Roman" w:hAnsi="Times New Roman"/>
                <w:b/>
                <w:i w:val="0"/>
                <w:sz w:val="20"/>
              </w:rPr>
              <w:t>Canlı Forward-Test (önceki sürüm, 18 koşu)</w:t>
            </w:r>
          </w:p>
        </w:tc>
      </w:tr>
      <w:tr>
        <w:tc>
          <w:tcPr>
            <w:tcW w:type="dxa" w:w="3024"/>
            <w:vAlign w:val="center"/>
          </w:tcPr>
          <w:p>
            <w:pPr>
              <w:jc w:val="center"/>
            </w:pPr>
            <w:r/>
            <w:r>
              <w:rPr>
                <w:rFonts w:ascii="Times New Roman" w:hAnsi="Times New Roman"/>
                <w:b w:val="0"/>
                <w:i w:val="0"/>
                <w:sz w:val="20"/>
              </w:rPr>
              <w:t>İsabet Oranı</w:t>
            </w:r>
          </w:p>
        </w:tc>
        <w:tc>
          <w:tcPr>
            <w:tcW w:type="dxa" w:w="3024"/>
            <w:vAlign w:val="center"/>
          </w:tcPr>
          <w:p>
            <w:pPr>
              <w:jc w:val="center"/>
            </w:pPr>
            <w:r/>
            <w:r>
              <w:rPr>
                <w:rFonts w:ascii="Times New Roman" w:hAnsi="Times New Roman"/>
                <w:b w:val="0"/>
                <w:i w:val="0"/>
                <w:sz w:val="20"/>
              </w:rPr>
              <w:t>%36.1</w:t>
            </w:r>
          </w:p>
        </w:tc>
        <w:tc>
          <w:tcPr>
            <w:tcW w:type="dxa" w:w="3024"/>
            <w:vAlign w:val="center"/>
          </w:tcPr>
          <w:p>
            <w:pPr>
              <w:jc w:val="center"/>
            </w:pPr>
            <w:r/>
            <w:r>
              <w:rPr>
                <w:rFonts w:ascii="Times New Roman" w:hAnsi="Times New Roman"/>
                <w:b w:val="0"/>
                <w:i w:val="0"/>
                <w:sz w:val="20"/>
              </w:rPr>
              <w:t>—</w:t>
            </w:r>
          </w:p>
        </w:tc>
      </w:tr>
      <w:tr>
        <w:tc>
          <w:tcPr>
            <w:tcW w:type="dxa" w:w="3024"/>
            <w:vAlign w:val="center"/>
          </w:tcPr>
          <w:p>
            <w:pPr>
              <w:jc w:val="center"/>
            </w:pPr>
            <w:r/>
            <w:r>
              <w:rPr>
                <w:rFonts w:ascii="Times New Roman" w:hAnsi="Times New Roman"/>
                <w:b w:val="0"/>
                <w:i w:val="0"/>
                <w:sz w:val="20"/>
              </w:rPr>
              <w:t>Flat Kasa ROI</w:t>
            </w:r>
          </w:p>
        </w:tc>
        <w:tc>
          <w:tcPr>
            <w:tcW w:type="dxa" w:w="3024"/>
            <w:vAlign w:val="center"/>
          </w:tcPr>
          <w:p>
            <w:pPr>
              <w:jc w:val="center"/>
            </w:pPr>
            <w:r/>
            <w:r>
              <w:rPr>
                <w:rFonts w:ascii="Times New Roman" w:hAnsi="Times New Roman"/>
                <w:b w:val="0"/>
                <w:i w:val="0"/>
                <w:sz w:val="20"/>
              </w:rPr>
              <w:t>+%127.5 (1.000→10.016 TL)</w:t>
            </w:r>
          </w:p>
        </w:tc>
        <w:tc>
          <w:tcPr>
            <w:tcW w:type="dxa" w:w="3024"/>
            <w:vAlign w:val="center"/>
          </w:tcPr>
          <w:p>
            <w:pPr>
              <w:jc w:val="center"/>
            </w:pPr>
            <w:r/>
            <w:r>
              <w:rPr>
                <w:rFonts w:ascii="Times New Roman" w:hAnsi="Times New Roman"/>
                <w:b w:val="0"/>
                <w:i w:val="0"/>
                <w:sz w:val="20"/>
              </w:rPr>
              <w:t>~ −%36</w:t>
            </w:r>
          </w:p>
        </w:tc>
      </w:tr>
      <w:tr>
        <w:tc>
          <w:tcPr>
            <w:tcW w:type="dxa" w:w="3024"/>
            <w:vAlign w:val="center"/>
          </w:tcPr>
          <w:p>
            <w:pPr>
              <w:jc w:val="center"/>
            </w:pPr>
            <w:r/>
            <w:r>
              <w:rPr>
                <w:rFonts w:ascii="Times New Roman" w:hAnsi="Times New Roman"/>
                <w:b w:val="0"/>
                <w:i w:val="0"/>
                <w:sz w:val="20"/>
              </w:rPr>
              <w:t>Yorum</w:t>
            </w:r>
          </w:p>
        </w:tc>
        <w:tc>
          <w:tcPr>
            <w:tcW w:type="dxa" w:w="3024"/>
            <w:vAlign w:val="center"/>
          </w:tcPr>
          <w:p>
            <w:pPr>
              <w:jc w:val="center"/>
            </w:pPr>
            <w:r/>
            <w:r>
              <w:rPr>
                <w:rFonts w:ascii="Times New Roman" w:hAnsi="Times New Roman"/>
                <w:b w:val="0"/>
                <w:i w:val="0"/>
                <w:sz w:val="20"/>
              </w:rPr>
              <w:t>İyimser — dairesel değil ama geçmişe dayalı</w:t>
            </w:r>
          </w:p>
        </w:tc>
        <w:tc>
          <w:tcPr>
            <w:tcW w:type="dxa" w:w="3024"/>
            <w:vAlign w:val="center"/>
          </w:tcPr>
          <w:p>
            <w:pPr>
              <w:jc w:val="center"/>
            </w:pPr>
            <w:r/>
            <w:r>
              <w:rPr>
                <w:rFonts w:ascii="Times New Roman" w:hAnsi="Times New Roman"/>
                <w:b w:val="0"/>
                <w:i w:val="0"/>
                <w:sz w:val="20"/>
              </w:rPr>
              <w:t>Gerçek hakem (v2 ile sıfırdan başlatıldı)</w:t>
            </w:r>
          </w:p>
        </w:tc>
      </w:tr>
    </w:tbl>
    <w:p/>
    <w:p>
      <w:pPr>
        <w:jc w:val="center"/>
      </w:pPr>
      <w:r>
        <w:drawing>
          <wp:inline xmlns:a="http://schemas.openxmlformats.org/drawingml/2006/main" xmlns:pic="http://schemas.openxmlformats.org/drawingml/2006/picture">
            <wp:extent cx="5040000" cy="1938462"/>
            <wp:docPr id="7" name="Picture 7"/>
            <wp:cNvGraphicFramePr>
              <a:graphicFrameLocks noChangeAspect="1"/>
            </wp:cNvGraphicFramePr>
            <a:graphic>
              <a:graphicData uri="http://schemas.openxmlformats.org/drawingml/2006/picture">
                <pic:pic>
                  <pic:nvPicPr>
                    <pic:cNvPr id="0" name="bankroll_curve.png"/>
                    <pic:cNvPicPr/>
                  </pic:nvPicPr>
                  <pic:blipFill>
                    <a:blip r:embed="rId16"/>
                    <a:stretch>
                      <a:fillRect/>
                    </a:stretch>
                  </pic:blipFill>
                  <pic:spPr>
                    <a:xfrm>
                      <a:off x="0" y="0"/>
                      <a:ext cx="5040000" cy="1938462"/>
                    </a:xfrm>
                    <a:prstGeom prst="rect"/>
                  </pic:spPr>
                </pic:pic>
              </a:graphicData>
            </a:graphic>
          </wp:inline>
        </w:drawing>
      </w:r>
    </w:p>
    <w:p>
      <w:pPr>
        <w:spacing w:after="240"/>
        <w:jc w:val="center"/>
      </w:pPr>
      <w:r>
        <w:rPr>
          <w:rFonts w:ascii="Times New Roman" w:hAnsi="Times New Roman"/>
          <w:b w:val="0"/>
          <w:i w:val="0"/>
          <w:sz w:val="22"/>
        </w:rPr>
        <w:t>Şekil 7: Flat ve ¼-Kelly kasa stratejilerinin zaman içindeki bakiye eğrisi (Ganyan bahisleri, gerçek oranlarla, OOF backtest)</w:t>
      </w:r>
    </w:p>
    <w:p>
      <w:pPr>
        <w:spacing w:after="120"/>
        <w:jc w:val="both"/>
      </w:pPr>
      <w:r>
        <w:rPr>
          <w:rFonts w:ascii="Times New Roman" w:hAnsi="Times New Roman"/>
          <w:b/>
          <w:i w:val="0"/>
          <w:sz w:val="24"/>
        </w:rPr>
        <w:t>Özellik Önemi (Feature Importance) ve Değişkenlerin Rolü</w:t>
      </w:r>
    </w:p>
    <w:p>
      <w:pPr>
        <w:spacing w:after="120"/>
        <w:jc w:val="both"/>
      </w:pPr>
      <w:r>
        <w:rPr>
          <w:rFonts w:ascii="Times New Roman" w:hAnsi="Times New Roman"/>
          <w:b w:val="0"/>
          <w:i w:val="0"/>
          <w:sz w:val="24"/>
        </w:rPr>
        <w:t>Ağaç bazlı algoritmaların ayırt etme metrikleri (Native Gain ve SHAP analizi) incelendiğinde; atın bağımsız saf handikap puanından öte rakiplerine olan göreceli puanı (Relative_Handikap) ve görece sıkleti (Relative_Siklet) ilk sıralarda yer almıştır. Ayrıca atın son 400 metre idman derecesi, her iki tahmin modelinde de ilk 10 özellik arasına girmiş; bu da idman verisi gibi biyolojik/performans göstergelerinin isabet oranında belirgin bir kırılım yarattığını göstermektedir (Şekil 8-11).</w:t>
      </w:r>
    </w:p>
    <w:p>
      <w:pPr>
        <w:jc w:val="center"/>
      </w:pPr>
      <w:r>
        <w:drawing>
          <wp:inline xmlns:a="http://schemas.openxmlformats.org/drawingml/2006/main" xmlns:pic="http://schemas.openxmlformats.org/drawingml/2006/picture">
            <wp:extent cx="4320000" cy="2592000"/>
            <wp:docPr id="8" name="Picture 8"/>
            <wp:cNvGraphicFramePr>
              <a:graphicFrameLocks noChangeAspect="1"/>
            </wp:cNvGraphicFramePr>
            <a:graphic>
              <a:graphicData uri="http://schemas.openxmlformats.org/drawingml/2006/picture">
                <pic:pic>
                  <pic:nvPicPr>
                    <pic:cNvPr id="0" name="fi_LightGBM_Is_Winner_native.png"/>
                    <pic:cNvPicPr/>
                  </pic:nvPicPr>
                  <pic:blipFill>
                    <a:blip r:embed="rId17"/>
                    <a:stretch>
                      <a:fillRect/>
                    </a:stretch>
                  </pic:blipFill>
                  <pic:spPr>
                    <a:xfrm>
                      <a:off x="0" y="0"/>
                      <a:ext cx="4320000" cy="2592000"/>
                    </a:xfrm>
                    <a:prstGeom prst="rect"/>
                  </pic:spPr>
                </pic:pic>
              </a:graphicData>
            </a:graphic>
          </wp:inline>
        </w:drawing>
      </w:r>
    </w:p>
    <w:p>
      <w:pPr>
        <w:spacing w:after="240"/>
        <w:jc w:val="center"/>
      </w:pPr>
      <w:r>
        <w:rPr>
          <w:rFonts w:ascii="Times New Roman" w:hAnsi="Times New Roman"/>
          <w:b w:val="0"/>
          <w:i w:val="0"/>
          <w:sz w:val="22"/>
        </w:rPr>
        <w:t>Şekil 8: LightGBM özellik önemi (native gain) — Is_Winner</w:t>
      </w:r>
    </w:p>
    <w:p>
      <w:pPr>
        <w:jc w:val="center"/>
      </w:pPr>
      <w:r>
        <w:drawing>
          <wp:inline xmlns:a="http://schemas.openxmlformats.org/drawingml/2006/main" xmlns:pic="http://schemas.openxmlformats.org/drawingml/2006/picture">
            <wp:extent cx="4320000" cy="5130000"/>
            <wp:docPr id="9" name="Picture 9"/>
            <wp:cNvGraphicFramePr>
              <a:graphicFrameLocks noChangeAspect="1"/>
            </wp:cNvGraphicFramePr>
            <a:graphic>
              <a:graphicData uri="http://schemas.openxmlformats.org/drawingml/2006/picture">
                <pic:pic>
                  <pic:nvPicPr>
                    <pic:cNvPr id="0" name="fi_LightGBM_Is_Winner_shap.png"/>
                    <pic:cNvPicPr/>
                  </pic:nvPicPr>
                  <pic:blipFill>
                    <a:blip r:embed="rId18"/>
                    <a:stretch>
                      <a:fillRect/>
                    </a:stretch>
                  </pic:blipFill>
                  <pic:spPr>
                    <a:xfrm>
                      <a:off x="0" y="0"/>
                      <a:ext cx="4320000" cy="5130000"/>
                    </a:xfrm>
                    <a:prstGeom prst="rect"/>
                  </pic:spPr>
                </pic:pic>
              </a:graphicData>
            </a:graphic>
          </wp:inline>
        </w:drawing>
      </w:r>
    </w:p>
    <w:p>
      <w:pPr>
        <w:spacing w:after="240"/>
        <w:jc w:val="center"/>
      </w:pPr>
      <w:r>
        <w:rPr>
          <w:rFonts w:ascii="Times New Roman" w:hAnsi="Times New Roman"/>
          <w:b w:val="0"/>
          <w:i w:val="0"/>
          <w:sz w:val="22"/>
        </w:rPr>
        <w:t>Şekil 9: SHAP değerleri — Is_Winner</w:t>
      </w:r>
    </w:p>
    <w:p>
      <w:pPr>
        <w:jc w:val="center"/>
      </w:pPr>
      <w:r>
        <w:drawing>
          <wp:inline xmlns:a="http://schemas.openxmlformats.org/drawingml/2006/main" xmlns:pic="http://schemas.openxmlformats.org/drawingml/2006/picture">
            <wp:extent cx="4320000" cy="2592000"/>
            <wp:docPr id="10" name="Picture 10"/>
            <wp:cNvGraphicFramePr>
              <a:graphicFrameLocks noChangeAspect="1"/>
            </wp:cNvGraphicFramePr>
            <a:graphic>
              <a:graphicData uri="http://schemas.openxmlformats.org/drawingml/2006/picture">
                <pic:pic>
                  <pic:nvPicPr>
                    <pic:cNvPr id="0" name="fi_LightGBM_Is_Top3_native.png"/>
                    <pic:cNvPicPr/>
                  </pic:nvPicPr>
                  <pic:blipFill>
                    <a:blip r:embed="rId19"/>
                    <a:stretch>
                      <a:fillRect/>
                    </a:stretch>
                  </pic:blipFill>
                  <pic:spPr>
                    <a:xfrm>
                      <a:off x="0" y="0"/>
                      <a:ext cx="4320000" cy="2592000"/>
                    </a:xfrm>
                    <a:prstGeom prst="rect"/>
                  </pic:spPr>
                </pic:pic>
              </a:graphicData>
            </a:graphic>
          </wp:inline>
        </w:drawing>
      </w:r>
    </w:p>
    <w:p>
      <w:pPr>
        <w:spacing w:after="240"/>
        <w:jc w:val="center"/>
      </w:pPr>
      <w:r>
        <w:rPr>
          <w:rFonts w:ascii="Times New Roman" w:hAnsi="Times New Roman"/>
          <w:b w:val="0"/>
          <w:i w:val="0"/>
          <w:sz w:val="22"/>
        </w:rPr>
        <w:t>Şekil 10: LightGBM özellik önemi (native gain) — Is_Top3</w:t>
      </w:r>
    </w:p>
    <w:p>
      <w:pPr>
        <w:jc w:val="center"/>
      </w:pPr>
      <w:r>
        <w:drawing>
          <wp:inline xmlns:a="http://schemas.openxmlformats.org/drawingml/2006/main" xmlns:pic="http://schemas.openxmlformats.org/drawingml/2006/picture">
            <wp:extent cx="4320000" cy="5130000"/>
            <wp:docPr id="11" name="Picture 11"/>
            <wp:cNvGraphicFramePr>
              <a:graphicFrameLocks noChangeAspect="1"/>
            </wp:cNvGraphicFramePr>
            <a:graphic>
              <a:graphicData uri="http://schemas.openxmlformats.org/drawingml/2006/picture">
                <pic:pic>
                  <pic:nvPicPr>
                    <pic:cNvPr id="0" name="fi_LightGBM_Is_Top3_shap.png"/>
                    <pic:cNvPicPr/>
                  </pic:nvPicPr>
                  <pic:blipFill>
                    <a:blip r:embed="rId20"/>
                    <a:stretch>
                      <a:fillRect/>
                    </a:stretch>
                  </pic:blipFill>
                  <pic:spPr>
                    <a:xfrm>
                      <a:off x="0" y="0"/>
                      <a:ext cx="4320000" cy="5130000"/>
                    </a:xfrm>
                    <a:prstGeom prst="rect"/>
                  </pic:spPr>
                </pic:pic>
              </a:graphicData>
            </a:graphic>
          </wp:inline>
        </w:drawing>
      </w:r>
    </w:p>
    <w:p>
      <w:pPr>
        <w:spacing w:after="240"/>
        <w:jc w:val="center"/>
      </w:pPr>
      <w:r>
        <w:rPr>
          <w:rFonts w:ascii="Times New Roman" w:hAnsi="Times New Roman"/>
          <w:b w:val="0"/>
          <w:i w:val="0"/>
          <w:sz w:val="22"/>
        </w:rPr>
        <w:t>Şekil 11: SHAP değerleri — Is_Top3</w:t>
      </w:r>
    </w:p>
    <w:p>
      <w:pPr>
        <w:spacing w:after="120"/>
        <w:jc w:val="both"/>
      </w:pPr>
      <w:r>
        <w:rPr>
          <w:rFonts w:ascii="Times New Roman" w:hAnsi="Times New Roman"/>
          <w:b/>
          <w:i w:val="0"/>
          <w:sz w:val="24"/>
        </w:rPr>
        <w:t>SONUÇ VE ÖNERİLER</w:t>
      </w:r>
    </w:p>
    <w:p>
      <w:pPr>
        <w:spacing w:after="120"/>
        <w:jc w:val="both"/>
      </w:pPr>
      <w:r>
        <w:rPr>
          <w:rFonts w:ascii="Times New Roman" w:hAnsi="Times New Roman"/>
          <w:b w:val="0"/>
          <w:i w:val="0"/>
          <w:sz w:val="24"/>
        </w:rPr>
        <w:t>Bu çalışmada, at performanslarının tahmini amacıyla kullanılan kolektif öğrenme modellerinin, sızıntısız (TimeSeriesSplit) bir metodolojiyle değerlendirildiğinde de hipodrom istatistiklerine uyarlanabilir, ticari ve istatistiksel olarak savunulabilir bir avantaj sunduğu üç ayrı kanıt hattıyla gösterilmiştir: (i) piyasa sinyali çıkarıldığında AUC'nin yalnızca ~0.02 düşmesi, modelin gücünün büyük ölçüde kendi özellik mühendisliğinden geldiğini; (ii) McNemar testlerinin altı bahis türünün beşinde modelin piyasayı istatistiksel olarak anlamlı şekilde geçtiğini (p&lt;0.05, çoğunlukla p&lt;0.001) kanıtlamıştır. Kalibrasyon analizinin ortaya koyduğu Is_Top3 aşırı-güven sorunu, üretim zincirine eklenen isotonic kalibrasyonla giderilmiş (ECE 0.134→0.000); ayrıca saf-fundamental model olasılığı ile piyasa-ima olasılığını ikinci aşama lojistik regresyonda birleştiren Benter [10] harmanı üçüncü tahmin varyantı olarak eklenmiştir (α_model=0.73, β_piyasa=0.53 — iki katsayının da sıfırdan uzaklığı, model ile piyasanın birbirini kapsamayan bilgi taşıdığını gösterir). Ayrıca kurulan VPS tabanlı canlı zamanlayıcı (live scheduler) sayesinde günlük forward-test verisi sürekli birikmekte, modelin gerçek-dünya performansı zamanla daha güvenilir örneklem büyüklüğüyle değerlendirilebilecektir. Sonuç olarak ML yöntemlerinin, doğruluk payı yüksek ve istatistiksel olarak doğrulanmış karar destek sistemlerine hizmet edebileceği; ancak gerçek bahis uygulamalarında yüksek varyans ve kalibrasyon gereksinimleri nedeniyle temkinli yaklaşılması gerektiği ortaya konmuştur.</w:t>
      </w:r>
    </w:p>
    <w:p>
      <w:pPr>
        <w:spacing w:after="120"/>
        <w:jc w:val="both"/>
      </w:pPr>
      <w:r>
        <w:rPr>
          <w:rFonts w:ascii="Times New Roman" w:hAnsi="Times New Roman"/>
          <w:b/>
          <w:i w:val="0"/>
          <w:sz w:val="24"/>
        </w:rPr>
        <w:t>Teşekkür</w:t>
      </w:r>
    </w:p>
    <w:p>
      <w:pPr>
        <w:spacing w:after="120"/>
        <w:jc w:val="both"/>
      </w:pPr>
      <w:r>
        <w:rPr>
          <w:rFonts w:ascii="Times New Roman" w:hAnsi="Times New Roman"/>
          <w:b w:val="0"/>
          <w:i w:val="0"/>
          <w:sz w:val="24"/>
        </w:rPr>
        <w:t>Projenin gerçekleştirilmesinde veri alt yapısını sunan ve akademik değerlendirme teşviklerinde bulunan bilim heyetine ile TJK'nın veri tabanlarına teşekkür ederiz.</w:t>
      </w:r>
    </w:p>
    <w:p>
      <w:pPr>
        <w:spacing w:after="120"/>
        <w:jc w:val="both"/>
      </w:pPr>
      <w:r>
        <w:rPr>
          <w:rFonts w:ascii="Times New Roman" w:hAnsi="Times New Roman"/>
          <w:b/>
          <w:i w:val="0"/>
          <w:sz w:val="24"/>
        </w:rPr>
        <w:t>KAYNAKLAR (APA)</w:t>
      </w:r>
    </w:p>
    <w:p>
      <w:pPr>
        <w:spacing w:after="80"/>
        <w:jc w:val="both"/>
      </w:pPr>
      <w:r>
        <w:rPr>
          <w:rFonts w:ascii="Times New Roman" w:hAnsi="Times New Roman"/>
          <w:b w:val="0"/>
          <w:i w:val="0"/>
          <w:sz w:val="22"/>
        </w:rPr>
        <w:t>[1] Cihan, P. (2024). Horse Surgery and Survival Prediction with Artificial Intelligence Models: Performance Comparison of Original, Imputed, Balanced, and Feature-Selected Datasets. Kafkas Üniversitesi Veteriner Fakültesi Dergisi, 30(2), 233-241.</w:t>
      </w:r>
    </w:p>
    <w:p>
      <w:pPr>
        <w:spacing w:after="80"/>
        <w:jc w:val="both"/>
      </w:pPr>
      <w:r>
        <w:rPr>
          <w:rFonts w:ascii="Times New Roman" w:hAnsi="Times New Roman"/>
          <w:b w:val="0"/>
          <w:i w:val="0"/>
          <w:sz w:val="22"/>
        </w:rPr>
        <w:t>[2] Gupta, M., &amp; Singh, L. (2024). Horse Race Results Prediction Using Machine Learning Algorithms With Feature Selection. International Journal of Intelligent Systems and Applications in Engineering, 12(2s), 132-139.</w:t>
      </w:r>
    </w:p>
    <w:p>
      <w:pPr>
        <w:spacing w:after="80"/>
        <w:jc w:val="both"/>
      </w:pPr>
      <w:r>
        <w:rPr>
          <w:rFonts w:ascii="Times New Roman" w:hAnsi="Times New Roman"/>
          <w:b w:val="0"/>
          <w:i w:val="0"/>
          <w:sz w:val="22"/>
        </w:rPr>
        <w:t>[3] Higgins, M. (2018). The Gambler Who Cracked the Horse-Racing Code. Bloomberg Businessweek.</w:t>
      </w:r>
    </w:p>
    <w:p>
      <w:pPr>
        <w:spacing w:after="80"/>
        <w:jc w:val="both"/>
      </w:pPr>
      <w:r>
        <w:rPr>
          <w:rFonts w:ascii="Times New Roman" w:hAnsi="Times New Roman"/>
          <w:b w:val="0"/>
          <w:i w:val="0"/>
          <w:sz w:val="22"/>
        </w:rPr>
        <w:t>[4] Oda, D., &amp; Onogi, A. (2024). Assessing the predictability of racing performance of Thoroughbreds using mixed-effects model. Journal of Animal Breeding and Genetics, 141(1), 24-32.</w:t>
      </w:r>
    </w:p>
    <w:p>
      <w:pPr>
        <w:spacing w:after="80"/>
        <w:jc w:val="both"/>
      </w:pPr>
      <w:r>
        <w:rPr>
          <w:rFonts w:ascii="Times New Roman" w:hAnsi="Times New Roman"/>
          <w:b w:val="0"/>
          <w:i w:val="0"/>
          <w:sz w:val="22"/>
        </w:rPr>
        <w:t>[5] Obi, O. C., et al. (2024). Data science in sports analytics: A review of performance optimization and fan engagement. Journal of Artificial Intelligence and Data Science Techniques, 1(2).</w:t>
      </w:r>
    </w:p>
    <w:p>
      <w:pPr>
        <w:spacing w:after="80"/>
        <w:jc w:val="both"/>
      </w:pPr>
      <w:r>
        <w:rPr>
          <w:rFonts w:ascii="Times New Roman" w:hAnsi="Times New Roman"/>
          <w:b w:val="0"/>
          <w:i w:val="0"/>
          <w:sz w:val="22"/>
        </w:rPr>
        <w:t>[6] Tondapu, N. (2024). Efficient Market Dynamics: Unraveling Informational Efficiency in UK Horse Racing Betting Markets Through Betfair's Time Series Analysis. arXiv preprint arXiv:2402.02623.</w:t>
      </w:r>
    </w:p>
    <w:p>
      <w:pPr>
        <w:spacing w:after="80"/>
        <w:jc w:val="both"/>
      </w:pPr>
      <w:r>
        <w:rPr>
          <w:rFonts w:ascii="Times New Roman" w:hAnsi="Times New Roman"/>
          <w:b w:val="0"/>
          <w:i w:val="0"/>
          <w:sz w:val="22"/>
        </w:rPr>
        <w:t>[7] Chen, T., &amp; Guestrin, C. (2016). XGBoost: A Scalable Tree Boosting System. Proceedings of the 22nd ACM SIGKDD International Conference on Knowledge Discovery and Data Mining (pp. 785-794).</w:t>
      </w:r>
    </w:p>
    <w:p>
      <w:pPr>
        <w:spacing w:after="80"/>
        <w:jc w:val="both"/>
      </w:pPr>
      <w:r>
        <w:rPr>
          <w:rFonts w:ascii="Times New Roman" w:hAnsi="Times New Roman"/>
          <w:b w:val="0"/>
          <w:i w:val="0"/>
          <w:sz w:val="22"/>
        </w:rPr>
        <w:t>[8] Ke, G., Meng, Q., Finley, T., Wang, T., Chen, W., Ma, W., ... &amp; Liu, T. Y. (2017). LightGBM: A highly efficient gradient boosting decision tree. Advances in Neural Information Processing Systems, 30.</w:t>
      </w:r>
    </w:p>
    <w:p>
      <w:pPr>
        <w:spacing w:after="80"/>
        <w:jc w:val="both"/>
      </w:pPr>
      <w:r>
        <w:rPr>
          <w:rFonts w:ascii="Times New Roman" w:hAnsi="Times New Roman"/>
          <w:b w:val="0"/>
          <w:i w:val="0"/>
          <w:sz w:val="22"/>
        </w:rPr>
        <w:t>[9] Harville, D. A. (1973). Assigning probabilities to the outcomes of multi-entry competitions. Journal of the American Statistical Association, 68(342), 312-316.</w:t>
      </w:r>
    </w:p>
    <w:p>
      <w:pPr>
        <w:spacing w:after="80"/>
        <w:jc w:val="both"/>
      </w:pPr>
      <w:r>
        <w:rPr>
          <w:rFonts w:ascii="Times New Roman" w:hAnsi="Times New Roman"/>
          <w:b w:val="0"/>
          <w:i w:val="0"/>
          <w:sz w:val="22"/>
        </w:rPr>
        <w:t>[10] Benter, W. (1994). Computer based horse race handicapping and wagering systems: A report. In W. T. Ziemba, V. S. Lo, &amp; D. B. Hausch (Eds.), Efficiency of Racetrack Betting Markets (pp. 183-198). Academic Press.</w:t>
      </w:r>
    </w:p>
    <w:p>
      <w:pPr>
        <w:spacing w:after="80"/>
        <w:jc w:val="both"/>
      </w:pPr>
      <w:r>
        <w:rPr>
          <w:rFonts w:ascii="Times New Roman" w:hAnsi="Times New Roman"/>
          <w:b w:val="0"/>
          <w:i w:val="0"/>
          <w:sz w:val="22"/>
        </w:rPr>
        <w:t>[11] McNemar, Q. (1947). Note on the sampling error of the difference between correlated proportions or percentages. Psychometrika, 12(2), 153-157.</w:t>
      </w:r>
    </w:p>
    <w:p>
      <w:pPr>
        <w:spacing w:after="80"/>
        <w:jc w:val="both"/>
      </w:pPr>
      <w:r>
        <w:rPr>
          <w:rFonts w:ascii="Times New Roman" w:hAnsi="Times New Roman"/>
          <w:b w:val="0"/>
          <w:i w:val="0"/>
          <w:sz w:val="22"/>
        </w:rPr>
        <w:t>[12] Niculescu-Mizil, A., &amp; Caruana, R. (2005). Predicting good probabilities with supervised learning. Proceedings of the 22nd International Conference on Machine Learning (ICML), 625-632.</w:t>
      </w:r>
    </w:p>
    <w:sectPr w:rsidR="00FC693F" w:rsidRPr="0006063C" w:rsidSect="00034616">
      <w:head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val="0"/>
        <w:i/>
        <w:sz w:val="18"/>
      </w:rPr>
      <w:t>Aibatyr AMANZHOLOV*, Pınar CİHAN**            TNKÜ FBE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