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media/image1.jpeg" ContentType="image/jpeg"/>
  <Override PartName="/word/media/image2.png" ContentType="image/png"/>
  <Override PartName="/word/media/image3.png" ContentType="image/png"/>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oKlavuzu"/>
        <w:tblW w:w="907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1652"/>
        <w:gridCol w:w="5702"/>
        <w:gridCol w:w="1718"/>
      </w:tblGrid>
      <w:tr>
        <w:trPr/>
        <w:tc>
          <w:tcPr>
            <w:tcW w:w="1652" w:type="dxa"/>
            <w:tcBorders>
              <w:top w:val="single" w:sz="12" w:space="0" w:color="000000"/>
              <w:start w:val="nil"/>
              <w:bottom w:val="single" w:sz="12" w:space="0" w:color="000000"/>
              <w:end w:val="nil"/>
            </w:tcBorders>
          </w:tcPr>
          <w:p>
            <w:pPr>
              <w:pStyle w:val="Normal"/>
              <w:widowControl/>
              <w:spacing w:lineRule="auto" w:line="360" w:before="240" w:after="240"/>
              <w:jc w:val="center"/>
              <w:rPr>
                <w:rFonts w:ascii="Times New Roman" w:hAnsi="Times New Roman"/>
                <w:color w:val="000000"/>
                <w:sz w:val="20"/>
                <w:szCs w:val="20"/>
                <w:u w:val="single"/>
              </w:rPr>
            </w:pPr>
            <w:r>
              <w:rPr>
                <w:rFonts w:eastAsia="Calibri" w:cs=""/>
                <w:kern w:val="0"/>
                <w:lang w:val="tr-TR" w:eastAsia="en-US" w:bidi="ar-SA"/>
              </w:rPr>
              <w:drawing>
                <wp:inline distT="0" distB="0" distL="0" distR="0">
                  <wp:extent cx="579755" cy="5397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a:picLocks noChangeAspect="1" noChangeArrowheads="1"/>
                          </pic:cNvPicPr>
                        </pic:nvPicPr>
                        <pic:blipFill>
                          <a:blip r:embed="rId2"/>
                          <a:stretch>
                            <a:fillRect/>
                          </a:stretch>
                        </pic:blipFill>
                        <pic:spPr bwMode="auto">
                          <a:xfrm>
                            <a:off x="0" y="0"/>
                            <a:ext cx="579755" cy="539750"/>
                          </a:xfrm>
                          <a:prstGeom prst="rect">
                            <a:avLst/>
                          </a:prstGeom>
                          <a:noFill/>
                        </pic:spPr>
                      </pic:pic>
                    </a:graphicData>
                  </a:graphic>
                </wp:inline>
              </w:drawing>
            </w:r>
          </w:p>
        </w:tc>
        <w:tc>
          <w:tcPr>
            <w:tcW w:w="5702" w:type="dxa"/>
            <w:tcBorders>
              <w:top w:val="single" w:sz="12" w:space="0" w:color="000000"/>
              <w:start w:val="nil"/>
              <w:bottom w:val="single" w:sz="12" w:space="0" w:color="000000"/>
              <w:end w:val="nil"/>
            </w:tcBorders>
          </w:tcPr>
          <w:p>
            <w:pPr>
              <w:pStyle w:val="Normal"/>
              <w:widowControl/>
              <w:spacing w:lineRule="auto" w:line="240" w:before="240" w:after="240"/>
              <w:contextualSpacing/>
              <w:jc w:val="center"/>
              <w:rPr>
                <w:rFonts w:ascii="Times New Roman" w:hAnsi="Times New Roman" w:cs="Times New Roman"/>
                <w:color w:val="000099"/>
                <w:sz w:val="20"/>
                <w:szCs w:val="20"/>
              </w:rPr>
            </w:pPr>
            <w:r>
              <w:rPr>
                <w:rFonts w:eastAsia="Calibri" w:cs="Times New Roman" w:ascii="Times New Roman" w:hAnsi="Times New Roman"/>
                <w:color w:val="000099"/>
                <w:kern w:val="0"/>
                <w:sz w:val="20"/>
                <w:szCs w:val="20"/>
                <w:lang w:val="tr-TR" w:eastAsia="en-US" w:bidi="ar-SA"/>
              </w:rPr>
              <w:t>Tekirdağ Namık Kemal Üniversitesi</w:t>
            </w:r>
          </w:p>
          <w:p>
            <w:pPr>
              <w:pStyle w:val="Normal"/>
              <w:widowControl/>
              <w:spacing w:lineRule="auto" w:line="240" w:before="240" w:after="240"/>
              <w:contextualSpacing/>
              <w:jc w:val="center"/>
              <w:rPr>
                <w:rFonts w:ascii="Times New Roman" w:hAnsi="Times New Roman" w:cs="Times New Roman"/>
                <w:color w:val="000099"/>
                <w:sz w:val="20"/>
                <w:szCs w:val="20"/>
              </w:rPr>
            </w:pPr>
            <w:r>
              <w:rPr>
                <w:rFonts w:eastAsia="Calibri" w:cs="Times New Roman" w:ascii="Times New Roman" w:hAnsi="Times New Roman"/>
                <w:color w:val="000099"/>
                <w:kern w:val="0"/>
                <w:sz w:val="20"/>
                <w:szCs w:val="20"/>
                <w:lang w:val="tr-TR" w:eastAsia="en-US" w:bidi="ar-SA"/>
              </w:rPr>
              <w:t>Fen Bilimleri Enstitüsü</w:t>
            </w:r>
          </w:p>
          <w:p>
            <w:pPr>
              <w:pStyle w:val="Normal"/>
              <w:widowControl/>
              <w:spacing w:lineRule="auto" w:line="240" w:before="240" w:after="240"/>
              <w:contextualSpacing/>
              <w:jc w:val="center"/>
              <w:rPr>
                <w:rFonts w:ascii="Times New Roman" w:hAnsi="Times New Roman" w:cs="Times New Roman"/>
                <w:color w:val="000099"/>
                <w:sz w:val="20"/>
                <w:szCs w:val="20"/>
              </w:rPr>
            </w:pPr>
            <w:r>
              <w:rPr>
                <w:rFonts w:eastAsia="Calibri" w:cs="Times New Roman" w:ascii="Times New Roman" w:hAnsi="Times New Roman"/>
                <w:color w:val="000099"/>
                <w:kern w:val="0"/>
                <w:sz w:val="20"/>
                <w:szCs w:val="20"/>
                <w:lang w:val="tr-TR" w:eastAsia="en-US" w:bidi="ar-SA"/>
              </w:rPr>
            </w:r>
          </w:p>
          <w:p>
            <w:pPr>
              <w:pStyle w:val="Normal"/>
              <w:widowControl/>
              <w:spacing w:lineRule="auto" w:line="240" w:before="240" w:after="240"/>
              <w:contextualSpacing/>
              <w:jc w:val="center"/>
              <w:rPr>
                <w:rFonts w:ascii="Times New Roman" w:hAnsi="Times New Roman" w:cs="Times New Roman"/>
                <w:b/>
                <w:color w:val="000099"/>
                <w:sz w:val="20"/>
                <w:szCs w:val="20"/>
              </w:rPr>
            </w:pPr>
            <w:r>
              <w:rPr>
                <w:rFonts w:eastAsia="Calibri" w:cs="Times New Roman" w:ascii="Times New Roman" w:hAnsi="Times New Roman"/>
                <w:b/>
                <w:color w:val="000099"/>
                <w:kern w:val="0"/>
                <w:sz w:val="20"/>
                <w:szCs w:val="20"/>
                <w:lang w:val="tr-TR" w:eastAsia="en-US" w:bidi="ar-SA"/>
              </w:rPr>
              <w:t xml:space="preserve">Tez Makalesi </w:t>
            </w:r>
          </w:p>
          <w:p>
            <w:pPr>
              <w:pStyle w:val="Normal"/>
              <w:widowControl/>
              <w:spacing w:lineRule="auto" w:line="240" w:before="240" w:after="240"/>
              <w:contextualSpacing/>
              <w:jc w:val="center"/>
              <w:rPr>
                <w:rFonts w:ascii="Times New Roman" w:hAnsi="Times New Roman" w:cs="Times New Roman"/>
                <w:color w:val="0070C0"/>
                <w:sz w:val="20"/>
                <w:szCs w:val="20"/>
              </w:rPr>
            </w:pPr>
            <w:r>
              <w:rPr>
                <w:rFonts w:eastAsia="Calibri" w:cs="Times New Roman" w:ascii="Times New Roman" w:hAnsi="Times New Roman"/>
                <w:color w:val="0070C0"/>
                <w:kern w:val="0"/>
                <w:sz w:val="20"/>
                <w:szCs w:val="20"/>
                <w:lang w:val="tr-TR" w:eastAsia="en-US" w:bidi="ar-SA"/>
              </w:rPr>
            </w:r>
          </w:p>
          <w:p>
            <w:pPr>
              <w:pStyle w:val="Normal"/>
              <w:widowControl/>
              <w:spacing w:lineRule="auto" w:line="240" w:before="240" w:after="240"/>
              <w:contextualSpacing/>
              <w:jc w:val="center"/>
              <w:rPr>
                <w:rFonts w:ascii="Times New Roman" w:hAnsi="Times New Roman" w:cs="Times New Roman"/>
                <w:sz w:val="20"/>
                <w:szCs w:val="20"/>
              </w:rPr>
            </w:pPr>
            <w:hyperlink r:id="rId3">
              <w:r>
                <w:rPr>
                  <w:rStyle w:val="Hyperlink"/>
                  <w:rFonts w:eastAsia="Calibri" w:cs="Times New Roman" w:ascii="Times New Roman" w:hAnsi="Times New Roman"/>
                  <w:kern w:val="0"/>
                  <w:sz w:val="20"/>
                  <w:szCs w:val="20"/>
                  <w:u w:val="none"/>
                  <w:lang w:val="tr-TR" w:eastAsia="en-US" w:bidi="ar-SA"/>
                </w:rPr>
                <w:t>http://fbe.nku.edu.tr</w:t>
              </w:r>
            </w:hyperlink>
          </w:p>
        </w:tc>
        <w:tc>
          <w:tcPr>
            <w:tcW w:w="1718" w:type="dxa"/>
            <w:tcBorders>
              <w:top w:val="single" w:sz="12" w:space="0" w:color="000000"/>
              <w:start w:val="nil"/>
              <w:bottom w:val="single" w:sz="12" w:space="0" w:color="000000"/>
              <w:end w:val="nil"/>
            </w:tcBorders>
          </w:tcPr>
          <w:p>
            <w:pPr>
              <w:pStyle w:val="Normal"/>
              <w:widowControl/>
              <w:spacing w:lineRule="auto" w:line="360" w:before="240" w:after="240"/>
              <w:jc w:val="center"/>
              <w:rPr>
                <w:rFonts w:ascii="Times New Roman" w:hAnsi="Times New Roman"/>
                <w:color w:val="000000"/>
                <w:sz w:val="20"/>
                <w:szCs w:val="20"/>
                <w:u w:val="single"/>
              </w:rPr>
            </w:pPr>
            <w:r>
              <w:rPr>
                <w:rFonts w:eastAsia="Calibri" w:cs=""/>
                <w:kern w:val="0"/>
                <w:lang w:val="tr-TR" w:eastAsia="en-US" w:bidi="ar-SA"/>
              </w:rPr>
              <w:drawing>
                <wp:inline distT="0" distB="0" distL="0" distR="0">
                  <wp:extent cx="579755" cy="539750"/>
                  <wp:effectExtent l="0" t="0" r="0" b="0"/>
                  <wp:docPr id="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4"/>
                          <pic:cNvPicPr>
                            <a:picLocks noChangeAspect="1" noChangeArrowheads="1"/>
                          </pic:cNvPicPr>
                        </pic:nvPicPr>
                        <pic:blipFill>
                          <a:blip r:embed="rId4"/>
                          <a:stretch>
                            <a:fillRect/>
                          </a:stretch>
                        </pic:blipFill>
                        <pic:spPr bwMode="auto">
                          <a:xfrm>
                            <a:off x="0" y="0"/>
                            <a:ext cx="579755" cy="539750"/>
                          </a:xfrm>
                          <a:prstGeom prst="rect">
                            <a:avLst/>
                          </a:prstGeom>
                          <a:noFill/>
                        </pic:spPr>
                      </pic:pic>
                    </a:graphicData>
                  </a:graphic>
                </wp:inline>
              </w:drawing>
            </w:r>
          </w:p>
        </w:tc>
      </w:tr>
    </w:tbl>
    <w:p>
      <w:pPr>
        <w:pStyle w:val="Normal"/>
        <w:spacing w:lineRule="auto" w:line="240" w:before="240" w:after="240"/>
        <w:jc w:val="both"/>
        <w:rPr>
          <w:rFonts w:ascii="Times New Roman" w:hAnsi="Times New Roman"/>
          <w:b/>
          <w:color w:val="000000"/>
          <w:sz w:val="24"/>
          <w:szCs w:val="24"/>
        </w:rPr>
      </w:pPr>
      <w:r>
        <w:rPr>
          <w:rFonts w:ascii="Times New Roman" w:hAnsi="Times New Roman"/>
          <w:b/>
          <w:color w:val="000000"/>
          <w:sz w:val="24"/>
          <w:szCs w:val="24"/>
        </w:rPr>
        <w:t>Tez Adı</w:t>
      </w:r>
    </w:p>
    <w:p>
      <w:pPr>
        <w:pStyle w:val="Normal"/>
        <w:spacing w:lineRule="auto" w:line="240" w:before="240" w:after="240"/>
        <w:jc w:val="both"/>
        <w:rPr>
          <w:rFonts w:ascii="Times New Roman" w:hAnsi="Times New Roman"/>
          <w:color w:val="000000"/>
          <w:vertAlign w:val="superscript"/>
        </w:rPr>
      </w:pPr>
      <w:r>
        <w:rPr>
          <w:rFonts w:ascii="Times New Roman" w:hAnsi="Times New Roman"/>
          <w:color w:val="000000"/>
        </w:rPr>
        <w:t>Aibatyr Amanzholov</w:t>
      </w:r>
      <w:r>
        <w:rPr>
          <w:rFonts w:ascii="Times New Roman" w:hAnsi="Times New Roman"/>
          <w:color w:val="000000"/>
          <w:vertAlign w:val="superscript"/>
        </w:rPr>
        <w:t>1</w:t>
      </w:r>
      <w:r>
        <w:rPr>
          <w:rFonts w:ascii="Times New Roman" w:hAnsi="Times New Roman"/>
          <w:color w:val="000000"/>
        </w:rPr>
        <w:t xml:space="preserve">, </w:t>
      </w:r>
      <w:r>
        <w:rPr>
          <w:rFonts w:ascii="Times New Roman" w:hAnsi="Times New Roman"/>
          <w:color w:val="000000"/>
        </w:rPr>
        <w:t>Pınar Cihan</w:t>
      </w:r>
      <w:r>
        <w:rPr>
          <w:rFonts w:ascii="Times New Roman" w:hAnsi="Times New Roman"/>
          <w:color w:val="000000"/>
          <w:vertAlign w:val="superscript"/>
        </w:rPr>
        <w:t>2</w:t>
      </w:r>
    </w:p>
    <w:p>
      <w:pPr>
        <w:pStyle w:val="Normal"/>
        <w:spacing w:lineRule="auto" w:line="240" w:before="240" w:after="240"/>
        <w:contextualSpacing/>
        <w:jc w:val="both"/>
        <w:rPr>
          <w:rFonts w:ascii="Times New Roman" w:hAnsi="Times New Roman"/>
          <w:i/>
          <w:i/>
          <w:color w:val="000000"/>
          <w:sz w:val="18"/>
          <w:szCs w:val="18"/>
        </w:rPr>
      </w:pPr>
      <w:r>
        <w:rPr>
          <w:rFonts w:ascii="Times New Roman" w:hAnsi="Times New Roman"/>
          <w:i/>
          <w:color w:val="000000"/>
          <w:sz w:val="18"/>
          <w:szCs w:val="18"/>
          <w:vertAlign w:val="superscript"/>
        </w:rPr>
        <w:t>1</w:t>
      </w:r>
      <w:r>
        <w:rPr>
          <w:rFonts w:ascii="Times New Roman" w:hAnsi="Times New Roman"/>
          <w:i/>
          <w:color w:val="000000"/>
          <w:sz w:val="18"/>
          <w:szCs w:val="18"/>
        </w:rPr>
        <w:t xml:space="preserve"> e-posta:</w:t>
      </w:r>
      <w:r>
        <w:rPr>
          <w:rFonts w:ascii="Times New Roman" w:hAnsi="Times New Roman"/>
          <w:i/>
          <w:color w:val="000000"/>
          <w:sz w:val="18"/>
          <w:szCs w:val="18"/>
        </w:rPr>
        <w:t>1</w:t>
      </w:r>
      <w:r>
        <w:rPr>
          <w:rFonts w:ascii="Times New Roman" w:hAnsi="Times New Roman"/>
          <w:i/>
          <w:color w:val="000000"/>
          <w:sz w:val="18"/>
          <w:szCs w:val="18"/>
        </w:rPr>
        <w:t>220606648@gmail.com</w:t>
      </w:r>
    </w:p>
    <w:p>
      <w:pPr>
        <w:pStyle w:val="Normal"/>
        <w:spacing w:lineRule="auto" w:line="240" w:before="240" w:after="240"/>
        <w:contextualSpacing/>
        <w:jc w:val="both"/>
        <w:rPr>
          <w:rFonts w:ascii="Times New Roman" w:hAnsi="Times New Roman"/>
          <w:i/>
          <w:i/>
          <w:color w:val="000000"/>
          <w:sz w:val="18"/>
          <w:szCs w:val="18"/>
        </w:rPr>
      </w:pPr>
      <w:r>
        <w:rPr>
          <w:rFonts w:ascii="Times New Roman" w:hAnsi="Times New Roman"/>
          <w:i/>
          <w:color w:val="000000"/>
          <w:sz w:val="18"/>
          <w:szCs w:val="18"/>
          <w:vertAlign w:val="superscript"/>
        </w:rPr>
        <w:t>2</w:t>
      </w:r>
      <w:r>
        <w:rPr>
          <w:rFonts w:ascii="Times New Roman" w:hAnsi="Times New Roman"/>
          <w:i/>
          <w:color w:val="000000"/>
          <w:sz w:val="18"/>
          <w:szCs w:val="18"/>
        </w:rPr>
        <w:t xml:space="preserve"> e-posta:</w:t>
      </w:r>
      <w:r>
        <w:rPr>
          <w:rFonts w:ascii="Times New Roman" w:hAnsi="Times New Roman"/>
          <w:i/>
          <w:color w:val="000000"/>
          <w:sz w:val="18"/>
          <w:szCs w:val="18"/>
        </w:rPr>
        <w:t>pkaya@nku.edu.tr</w:t>
      </w:r>
    </w:p>
    <w:p>
      <w:pPr>
        <w:pStyle w:val="Normal"/>
        <w:spacing w:lineRule="auto" w:line="240" w:before="240" w:after="240"/>
        <w:contextualSpacing/>
        <w:jc w:val="both"/>
        <w:rPr>
          <w:rFonts w:ascii="Times New Roman" w:hAnsi="Times New Roman"/>
          <w:i/>
          <w:i/>
          <w:color w:val="000000"/>
          <w:sz w:val="18"/>
          <w:szCs w:val="18"/>
        </w:rPr>
      </w:pPr>
      <w:r>
        <w:rPr>
          <w:rFonts w:ascii="Times New Roman" w:hAnsi="Times New Roman"/>
          <w:i/>
          <w:color w:val="000000"/>
          <w:sz w:val="18"/>
          <w:szCs w:val="18"/>
        </w:rPr>
      </w:r>
    </w:p>
    <w:p>
      <w:pPr>
        <w:pStyle w:val="Normal"/>
        <w:spacing w:lineRule="auto" w:line="240" w:before="240" w:after="240"/>
        <w:contextualSpacing/>
        <w:jc w:val="both"/>
        <w:rPr>
          <w:rFonts w:ascii="Times New Roman" w:hAnsi="Times New Roman"/>
          <w:i/>
          <w:i/>
          <w:color w:val="000000"/>
          <w:sz w:val="18"/>
          <w:szCs w:val="18"/>
        </w:rPr>
      </w:pPr>
      <w:r>
        <w:rPr>
          <w:rFonts w:ascii="Times New Roman" w:hAnsi="Times New Roman"/>
          <w:i/>
          <w:color w:val="000000"/>
          <w:sz w:val="18"/>
          <w:szCs w:val="18"/>
        </w:rPr>
      </w:r>
    </w:p>
    <w:tbl>
      <w:tblPr>
        <w:tblStyle w:val="TabloKlavuzu"/>
        <w:tblW w:w="907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4528"/>
        <w:gridCol w:w="4544"/>
      </w:tblGrid>
      <w:tr>
        <w:trPr/>
        <w:tc>
          <w:tcPr>
            <w:tcW w:w="4528" w:type="dxa"/>
            <w:tcBorders>
              <w:start w:val="nil"/>
              <w:end w:val="nil"/>
            </w:tcBorders>
            <w:shd w:color="auto" w:fill="auto" w:val="clear"/>
          </w:tcPr>
          <w:p>
            <w:pPr>
              <w:pStyle w:val="Normal"/>
              <w:widowControl/>
              <w:spacing w:lineRule="auto" w:line="240" w:before="240" w:after="240"/>
              <w:jc w:val="both"/>
              <w:rPr>
                <w:rFonts w:ascii="Times New Roman" w:hAnsi="Times New Roman"/>
                <w:b/>
                <w:color w:val="000000"/>
                <w:sz w:val="20"/>
                <w:szCs w:val="20"/>
              </w:rPr>
            </w:pPr>
            <w:r>
              <w:rPr>
                <w:rFonts w:eastAsia="Calibri" w:cs="" w:ascii="Times New Roman" w:hAnsi="Times New Roman"/>
                <w:b/>
                <w:color w:val="000000"/>
                <w:kern w:val="0"/>
                <w:sz w:val="20"/>
                <w:szCs w:val="20"/>
                <w:lang w:val="tr-TR" w:eastAsia="en-US" w:bidi="ar-SA"/>
              </w:rPr>
              <w:t>Tez Kabulü</w:t>
            </w:r>
          </w:p>
        </w:tc>
        <w:tc>
          <w:tcPr>
            <w:tcW w:w="4544" w:type="dxa"/>
            <w:tcBorders>
              <w:start w:val="nil"/>
              <w:end w:val="nil"/>
            </w:tcBorders>
          </w:tcPr>
          <w:p>
            <w:pPr>
              <w:pStyle w:val="Normal"/>
              <w:widowControl/>
              <w:spacing w:lineRule="auto" w:line="240" w:before="240" w:after="240"/>
              <w:jc w:val="both"/>
              <w:rPr>
                <w:rFonts w:ascii="Times New Roman" w:hAnsi="Times New Roman"/>
                <w:b/>
                <w:color w:val="000000"/>
                <w:sz w:val="20"/>
                <w:szCs w:val="20"/>
              </w:rPr>
            </w:pPr>
            <w:r>
              <w:rPr>
                <w:rFonts w:eastAsia="Calibri" w:cs="" w:ascii="Times New Roman" w:hAnsi="Times New Roman"/>
                <w:b/>
                <w:color w:val="000000"/>
                <w:kern w:val="0"/>
                <w:sz w:val="20"/>
                <w:szCs w:val="20"/>
                <w:lang w:val="tr-TR" w:eastAsia="en-US" w:bidi="ar-SA"/>
              </w:rPr>
              <w:t>Makale Türü</w:t>
            </w:r>
          </w:p>
        </w:tc>
      </w:tr>
      <w:tr>
        <w:trPr/>
        <w:tc>
          <w:tcPr>
            <w:tcW w:w="4528" w:type="dxa"/>
            <w:tcBorders>
              <w:start w:val="nil"/>
              <w:end w:val="nil"/>
            </w:tcBorders>
            <w:shd w:color="auto" w:fill="auto" w:val="clear"/>
          </w:tcPr>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06 Ekim 2021</w:t>
            </w:r>
          </w:p>
        </w:tc>
        <w:tc>
          <w:tcPr>
            <w:tcW w:w="4544" w:type="dxa"/>
            <w:tcBorders>
              <w:start w:val="nil"/>
              <w:end w:val="nil"/>
            </w:tcBorders>
          </w:tcPr>
          <w:p>
            <w:pPr>
              <w:pStyle w:val="Normal"/>
              <w:widowControl/>
              <w:spacing w:lineRule="auto" w:line="240" w:before="240" w:after="240"/>
              <w:contextualSpacing/>
              <w:jc w:val="both"/>
              <w:rPr>
                <w:rFonts w:ascii="Times New Roman" w:hAnsi="Times New Roman"/>
                <w:color w:val="000000"/>
                <w:sz w:val="20"/>
                <w:szCs w:val="20"/>
              </w:rPr>
            </w:pPr>
            <w:r>
              <w:rPr>
                <w:rFonts w:eastAsia="Calibri" w:cs="" w:ascii="Times New Roman" w:hAnsi="Times New Roman"/>
                <w:color w:val="000000"/>
                <w:kern w:val="0"/>
                <w:sz w:val="20"/>
                <w:szCs w:val="20"/>
                <w:lang w:val="tr-TR" w:eastAsia="en-US" w:bidi="ar-SA"/>
              </w:rPr>
              <w:t>Araştırma Makalesi/Research Article</w:t>
            </w:r>
          </w:p>
        </w:tc>
      </w:tr>
      <w:tr>
        <w:trPr/>
        <w:tc>
          <w:tcPr>
            <w:tcW w:w="4528" w:type="dxa"/>
            <w:tcBorders>
              <w:start w:val="nil"/>
              <w:end w:val="nil"/>
            </w:tcBorders>
            <w:shd w:color="auto" w:fill="auto" w:val="clear"/>
          </w:tcPr>
          <w:p>
            <w:pPr>
              <w:pStyle w:val="Normal"/>
              <w:widowControl/>
              <w:spacing w:lineRule="auto" w:line="240" w:before="240" w:after="240"/>
              <w:jc w:val="both"/>
              <w:rPr>
                <w:rFonts w:ascii="Times New Roman" w:hAnsi="Times New Roman"/>
                <w:b/>
                <w:color w:val="000000"/>
                <w:sz w:val="20"/>
                <w:szCs w:val="20"/>
              </w:rPr>
            </w:pPr>
            <w:r>
              <w:rPr>
                <w:rFonts w:eastAsia="Calibri" w:cs="" w:ascii="Times New Roman" w:hAnsi="Times New Roman"/>
                <w:b/>
                <w:color w:val="000000"/>
                <w:kern w:val="0"/>
                <w:sz w:val="20"/>
                <w:szCs w:val="20"/>
                <w:lang w:val="tr-TR" w:eastAsia="en-US" w:bidi="ar-SA"/>
              </w:rPr>
              <w:t>Anahtar Kelimeler</w:t>
            </w:r>
          </w:p>
        </w:tc>
        <w:tc>
          <w:tcPr>
            <w:tcW w:w="4544" w:type="dxa"/>
            <w:tcBorders>
              <w:start w:val="nil"/>
              <w:end w:val="nil"/>
            </w:tcBorders>
          </w:tcPr>
          <w:p>
            <w:pPr>
              <w:pStyle w:val="Normal"/>
              <w:widowControl/>
              <w:spacing w:lineRule="auto" w:line="240" w:before="240" w:after="240"/>
              <w:jc w:val="both"/>
              <w:rPr>
                <w:rFonts w:ascii="Times New Roman" w:hAnsi="Times New Roman"/>
                <w:b/>
                <w:color w:val="000000"/>
                <w:sz w:val="20"/>
                <w:szCs w:val="20"/>
              </w:rPr>
            </w:pPr>
            <w:r>
              <w:rPr>
                <w:rFonts w:eastAsia="Calibri" w:cs="" w:ascii="Times New Roman" w:hAnsi="Times New Roman"/>
                <w:b/>
                <w:color w:val="000000"/>
                <w:kern w:val="0"/>
                <w:sz w:val="20"/>
                <w:szCs w:val="20"/>
                <w:lang w:val="tr-TR" w:eastAsia="en-US" w:bidi="ar-SA"/>
              </w:rPr>
              <w:t>Özet</w:t>
            </w:r>
          </w:p>
        </w:tc>
      </w:tr>
      <w:tr>
        <w:trPr/>
        <w:tc>
          <w:tcPr>
            <w:tcW w:w="4528" w:type="dxa"/>
            <w:tcBorders>
              <w:start w:val="nil"/>
              <w:bottom w:val="nil"/>
              <w:end w:val="nil"/>
            </w:tcBorders>
            <w:shd w:color="auto" w:fill="auto" w:val="clear"/>
          </w:tcPr>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Yapay zeka,</w:t>
            </w:r>
          </w:p>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Topluluk modelleri,</w:t>
            </w:r>
          </w:p>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At yarışı tahmini,</w:t>
            </w:r>
          </w:p>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Özellik mühendisliği,</w:t>
            </w:r>
          </w:p>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LightGBM,</w:t>
            </w:r>
          </w:p>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t>XGBoos</w:t>
            </w:r>
            <w:r>
              <w:rPr>
                <w:rFonts w:eastAsia="Calibri" w:cs="" w:ascii="Times New Roman" w:hAnsi="Times New Roman"/>
                <w:i/>
                <w:color w:val="000000"/>
                <w:kern w:val="0"/>
                <w:sz w:val="20"/>
                <w:szCs w:val="20"/>
                <w:lang w:val="tr-TR" w:eastAsia="en-US" w:bidi="ar-SA"/>
              </w:rPr>
              <w:t>t</w:t>
            </w:r>
          </w:p>
        </w:tc>
        <w:tc>
          <w:tcPr>
            <w:tcW w:w="4544" w:type="dxa"/>
            <w:vMerge w:val="restart"/>
            <w:tcBorders>
              <w:start w:val="nil"/>
              <w:end w:val="nil"/>
            </w:tcBorders>
          </w:tcPr>
          <w:p>
            <w:pPr>
              <w:pStyle w:val="Normal"/>
              <w:spacing w:lineRule="auto" w:line="240" w:before="240" w:after="240"/>
              <w:contextualSpacing/>
              <w:jc w:val="both"/>
              <w:rPr>
                <w:rFonts w:ascii="Times New Roman" w:hAnsi="Times New Roman" w:eastAsia="Calibri" w:cs=""/>
                <w:color w:val="000000"/>
                <w:kern w:val="0"/>
                <w:sz w:val="20"/>
                <w:szCs w:val="20"/>
                <w:lang w:val="tr-TR" w:eastAsia="en-US" w:bidi="ar-SA"/>
              </w:rPr>
            </w:pPr>
            <w:r>
              <w:rPr>
                <w:rFonts w:eastAsia="Calibri" w:cs="" w:ascii="Times New Roman" w:hAnsi="Times New Roman"/>
                <w:color w:val="000000"/>
                <w:kern w:val="0"/>
                <w:sz w:val="20"/>
                <w:szCs w:val="20"/>
                <w:lang w:val="tr-TR" w:eastAsia="en-US" w:bidi="ar-SA"/>
              </w:rPr>
              <w:t>Yapay zeka teknolojileri spor veri analitiğinde devrim yaratmasına rağmen, veterinerlik istatistiği odaklı çok boyutlu yarış analizlerinde kısıtlı kalmıştır. Bu çalışmada, profesyonel at yarışlarında birinciyi ve ilk üçü (tabela) tahmin etmek amacıyla 9 farklı makine öğrenmesi topluluk modelinin performansı karşılaştırılmıştır. Atların idman verileri, ebeveyn genetik geçmişi ve göreceli sıkletleri gibi özellikler kullanılarak 21.648 yerli yarış kaydı Optuna ile optimize edilmiştir. Sonuçlara göre, birinci tahmininde Stacking Ensemble (AUC=0.847, Değer Bahsi ROI=+%92.6), tabela tahmininde ise XGBoost (AUC=0.825, Doğruluk=%73.5) en yüksek isabeti sağlamıştır. Modellerimiz, idman süreleri gibi biyolojik verilerin yapay zeka sistemlerinde etkin kullanımıyla geleneksel tahmin oranlarını (%34.3'ten %42.9'a) belirgin şekilde aştığını kanıtlamaktadır.</w:t>
            </w:r>
          </w:p>
        </w:tc>
      </w:tr>
      <w:tr>
        <w:trPr>
          <w:trHeight w:val="4012" w:hRule="atLeast"/>
        </w:trPr>
        <w:tc>
          <w:tcPr>
            <w:tcW w:w="4528" w:type="dxa"/>
            <w:tcBorders>
              <w:top w:val="nil"/>
              <w:start w:val="nil"/>
              <w:end w:val="nil"/>
            </w:tcBorders>
            <w:shd w:color="auto" w:fill="auto" w:val="clear"/>
          </w:tcPr>
          <w:p>
            <w:pPr>
              <w:pStyle w:val="Normal"/>
              <w:widowControl/>
              <w:spacing w:lineRule="auto" w:line="240" w:before="240" w:after="240"/>
              <w:contextualSpacing/>
              <w:jc w:val="both"/>
              <w:rPr>
                <w:rFonts w:ascii="Times New Roman" w:hAnsi="Times New Roman"/>
                <w:i/>
                <w:i/>
                <w:color w:val="000000"/>
                <w:sz w:val="20"/>
                <w:szCs w:val="20"/>
              </w:rPr>
            </w:pPr>
            <w:r>
              <w:rPr>
                <w:rFonts w:eastAsia="Calibri" w:cs="" w:ascii="Times New Roman" w:hAnsi="Times New Roman"/>
                <w:i/>
                <w:color w:val="000000"/>
                <w:kern w:val="0"/>
                <w:sz w:val="20"/>
                <w:szCs w:val="20"/>
                <w:lang w:val="tr-TR" w:eastAsia="en-US" w:bidi="ar-SA"/>
              </w:rPr>
            </w:r>
          </w:p>
        </w:tc>
        <w:tc>
          <w:tcPr>
            <w:tcW w:w="4544" w:type="dxa"/>
            <w:vMerge w:val="continue"/>
            <w:tcBorders>
              <w:start w:val="nil"/>
              <w:end w:val="nil"/>
            </w:tcBorders>
          </w:tcPr>
          <w:p>
            <w:pPr>
              <w:pStyle w:val="Normal"/>
              <w:widowControl/>
              <w:spacing w:lineRule="auto" w:line="240" w:before="240" w:after="240"/>
              <w:contextualSpacing/>
              <w:jc w:val="both"/>
              <w:rPr>
                <w:rFonts w:ascii="Times New Roman" w:hAnsi="Times New Roman" w:eastAsia="Calibri" w:cs=""/>
                <w:color w:val="000000"/>
                <w:kern w:val="0"/>
                <w:sz w:val="20"/>
                <w:szCs w:val="20"/>
                <w:lang w:val="tr-TR" w:eastAsia="en-US" w:bidi="ar-SA"/>
              </w:rPr>
            </w:pPr>
            <w:r>
              <w:rPr>
                <w:rFonts w:eastAsia="Calibri" w:cs="" w:ascii="Times New Roman" w:hAnsi="Times New Roman"/>
                <w:color w:val="000000"/>
                <w:kern w:val="0"/>
                <w:sz w:val="20"/>
                <w:szCs w:val="20"/>
                <w:lang w:val="tr-TR" w:eastAsia="en-US" w:bidi="ar-SA"/>
              </w:rPr>
            </w:r>
          </w:p>
        </w:tc>
      </w:tr>
    </w:tbl>
    <w:p>
      <w:pPr>
        <w:pStyle w:val="ListParagraph"/>
        <w:numPr>
          <w:ilvl w:val="0"/>
          <w:numId w:val="1"/>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GİRİŞ</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Son yıllarda, makine öğrenmesi (ML) ve yapay zeka (AI) alanındaki araştırmalar kayda</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değer ilerlemeler kaydetmiştir. AI teknolojisi kullanılarak gerçekleştirilen sınıflandırma ve</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tahmin görevleri tıp, finans ve spor analitiği alanlarında derin etkiler yaratmıştır. Hipodrom</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yarışları ve atçılık sporu da bu alanlardan biridir. Atlı sporlarda, yarış sonuçlarını yüksek</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doğruluk oranlarıyla tahmin etmek, genetik kalıtım, anlık sağlık durumu, jokey deneyimi</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ve çevresel şartlar gibi karmaşık etkileşimlerin modellenmesini gerektirir. Bu durum klasik</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istatistik ve el yordamıyla hesaplanan handikap puanlamalarından çok daha karmaşık bir</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örüntü tanıma (pattern recognition) problemidir. Literatürde yapay zekanın veterinerlik</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tıbbına ve at sağlığına uygulanmasında (örneğin kolik hastalığının veya ameliyat sonrası</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hayatta kalma olasılığının tespiti) büyük başarılar elde edilmiş olsa da, çok boyutlu</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yarış verilerindeki makine öğrenmesi uygulamalarına yönelik derinlemesine analiz odaklı</w:t>
      </w:r>
    </w:p>
    <w:p>
      <w:pPr>
        <w:pStyle w:val="Normal"/>
        <w:spacing w:lineRule="auto" w:line="240" w:before="0" w:after="0"/>
        <w:jc w:val="both"/>
        <w:rPr>
          <w:rFonts w:ascii="Times New Roman" w:hAnsi="Times New Roman" w:cs="Times New Roman"/>
          <w:sz w:val="24"/>
          <w:szCs w:val="24"/>
        </w:rPr>
      </w:pPr>
      <w:r>
        <w:rPr>
          <w:rFonts w:cs="Times New Roman" w:ascii="Times New Roman" w:hAnsi="Times New Roman"/>
          <w:sz w:val="24"/>
          <w:szCs w:val="24"/>
        </w:rPr>
        <w:t>çalışmalar kısıtlıdır.</w:t>
      </w:r>
    </w:p>
    <w:p>
      <w:pPr>
        <w:pStyle w:val="ListParagraph"/>
        <w:numPr>
          <w:ilvl w:val="1"/>
          <w:numId w:val="2"/>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Literatür Özeti</w:t>
      </w:r>
    </w:p>
    <w:p>
      <w:pPr>
        <w:pStyle w:val="Normal"/>
        <w:spacing w:lineRule="auto" w:line="240" w:before="126" w:after="126"/>
        <w:jc w:val="both"/>
        <w:rPr>
          <w:rFonts w:ascii="Times New Roman" w:hAnsi="Times New Roman" w:cs="Times New Roman"/>
          <w:sz w:val="24"/>
          <w:szCs w:val="24"/>
        </w:rPr>
      </w:pPr>
      <w:r>
        <w:rPr>
          <w:rFonts w:cs="Times New Roman" w:ascii="Times New Roman" w:hAnsi="Times New Roman"/>
          <w:sz w:val="24"/>
          <w:szCs w:val="24"/>
        </w:rPr>
        <w:t xml:space="preserve">At ve yarış tahminleriyle ilgili literatür incelendiğinde, araştırmacıların çoğunlukla regresyon tabanlı tahmin yöntemleri veya daha sınırlı veri setleriyle çalışan düşük hacimli yapay sinir ağları üzerine odaklandıkları görülmektedir. Yurt içi tıp ve veterinerlik uygulamalarında, Fraiwan (2024), kolikli atların cerrahi gerekliliğini makine öğrenmesi ile %76 ile %85 arasında bir doğruluk oranında tahmin etmeyi başarmıştır. Bunun dışında yarış süresini ve sıralamasını tahmin etmeyi hedefleyen geleneksel istatistiksel modeller, atın salt yaşını, kilosunu veya pist türünü temel almıştır. Literatürün geneli klasik makine öğrenmesi (Destek Vektör Makineleri, K-En Yakın Komşu vb.) üzerine kurgulanmış olup; aşırı uyum (overfitting) ihtimalini düşüren gelişmiş Boosting algoritmalarının (LightGBM, XGBoost, CatBoost) yarış dinamiği analizinde ve bilhassa idman sprint performanslarının zamansal başarıya (Time-Based Cross Validation) etkisinin değerlendirilmesinde önemli bir boşluk bulunmaktadır </w:t>
      </w:r>
    </w:p>
    <w:p>
      <w:pPr>
        <w:pStyle w:val="ListParagraph"/>
        <w:numPr>
          <w:ilvl w:val="1"/>
          <w:numId w:val="2"/>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 xml:space="preserve">Çalışmanın Amacı ve Kapsamı </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Bu çalışma, TJK (Türkiye Jokey Kulübü) veritabanında yer alan profesyonel yerli at yarışlarında birinciyi (Is_Winner) ve tabelaya ilk 3 bağlamında girmeyi (Is_Top3) tahmin etmek üzere makine öğrenmesi temelli bir altyapı oluşturmayı hedeflemektedir. Bu amaç doğrultusunda 1 yıllık süre zarfında kaydedilen 21.648 veri satırından oluşan bir set işlen- miştir. Çalışmanın temel amacı; atların 400m idman süreleri, geçmiş anne-baba kazanma oranları (Target Encoding mantığıyla sızıntısız dönüştürülmüş hesaplar), göreceli sıklet ve göreceli handikap puanları gibi karmaşık "Özellik Mühendisliği (Feature Engineering)" yöntemleriyle yapılandırılmış setler üzerinde 9 farklı makine öğrenmesi ve yapay zeka top- luluk (ensemble) modelinin performans karşılaştırmasını sunmaktır. Bu sayede genel bahis kitlelerinin algılarından (Ganyan Baseline) kaynaklı olan kör bahis risklerinin giderilmesi ve doğruluk payı yüksek nesnel, teknoloji destekli karar mekanizmalarının tesis edilmesi öngörülmektedir.</w:t>
      </w:r>
    </w:p>
    <w:p>
      <w:pPr>
        <w:pStyle w:val="ListParagraph"/>
        <w:numPr>
          <w:ilvl w:val="0"/>
          <w:numId w:val="2"/>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MATERYAL VE YÖNTEM</w:t>
      </w:r>
    </w:p>
    <w:p>
      <w:pPr>
        <w:pStyle w:val="ListParagraph"/>
        <w:numPr>
          <w:ilvl w:val="1"/>
          <w:numId w:val="2"/>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Veri Seti ve Ön İşleme</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Çalışmanın ham verisi, bağımsız bir şekilde geliştirilen çok aşamalı veri kazıma (Web Scraping) otomasyonları vasıtasıyla derlenmiştir. Nisan 2025 ile Mart 2026 tarihleri arasında gerçekleşen koşu verileri taranmış, idman verisine ulaşılamayan dış yarışlar filtrelenmiştir. Sonuç itibarıyla tamamı yerli atların bulunduğu 2.199 yarışlık, yüksek sinyal-gürültü oranına sahip 21.648 veri noktalı bir ana veri setine erişilmiştir. Kategorik değişkenler (hedef sızıntısı - data leakage engellenerek) geçmiş kümülatif başarılara oranlanmış, aykırı veya NaN barındıran satırlar sistemli bir şekilde impute edilmiş (doldurulmuş) veya atılmıştır.</w:t>
      </w:r>
    </w:p>
    <w:p>
      <w:pPr>
        <w:pStyle w:val="Heading3"/>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tbl>
      <w:tblPr>
        <w:tblW w:w="9072" w:type="dxa"/>
        <w:jc w:val="start"/>
        <w:tblInd w:w="0" w:type="dxa"/>
        <w:tblLayout w:type="fixed"/>
        <w:tblCellMar>
          <w:top w:w="28" w:type="dxa"/>
          <w:start w:w="28" w:type="dxa"/>
          <w:bottom w:w="28" w:type="dxa"/>
          <w:end w:w="28" w:type="dxa"/>
        </w:tblCellMar>
      </w:tblPr>
      <w:tblGrid>
        <w:gridCol w:w="2241"/>
        <w:gridCol w:w="955"/>
        <w:gridCol w:w="5322"/>
        <w:gridCol w:w="554"/>
      </w:tblGrid>
      <w:tr>
        <w:trPr>
          <w:tblHeader w:val="true"/>
        </w:trPr>
        <w:tc>
          <w:tcPr>
            <w:tcW w:w="9072" w:type="dxa"/>
            <w:gridSpan w:val="4"/>
            <w:tcBorders/>
            <w:shd w:fill="B2B2B2" w:val="clear"/>
            <w:vAlign w:val="center"/>
          </w:tcPr>
          <w:p>
            <w:pPr>
              <w:pStyle w:val="Normal"/>
              <w:spacing w:lineRule="auto" w:line="240" w:before="240" w:after="240"/>
              <w:rPr>
                <w:rFonts w:ascii="Times New Roman" w:hAnsi="Times New Roman" w:cs="Times New Roman"/>
                <w:sz w:val="24"/>
                <w:szCs w:val="24"/>
              </w:rPr>
            </w:pPr>
            <w:bookmarkStart w:id="0" w:name="user-content-tablo-1-tjk-at-yarışı-veri-"/>
            <w:bookmarkEnd w:id="0"/>
            <w:r>
              <w:rPr>
                <w:rFonts w:cs="Times New Roman" w:ascii="Times New Roman" w:hAnsi="Times New Roman"/>
                <w:sz w:val="24"/>
                <w:szCs w:val="24"/>
              </w:rPr>
              <w:t>Tablo 1: TJK At Yarışı Veri Setinin Özellikleri ve Bilgileri</w:t>
            </w:r>
          </w:p>
        </w:tc>
      </w:tr>
      <w:tr>
        <w:trPr/>
        <w:tc>
          <w:tcPr>
            <w:tcW w:w="2241" w:type="dxa"/>
            <w:tcBorders/>
            <w:shd w:fill="CCCCCC" w:val="clear"/>
            <w:vAlign w:val="center"/>
          </w:tcPr>
          <w:p>
            <w:pPr>
              <w:pStyle w:val="TableHeading"/>
              <w:spacing w:before="0" w:after="200"/>
              <w:ind w:hanging="0" w:start="0" w:end="0"/>
              <w:rPr/>
            </w:pPr>
            <w:r>
              <w:rPr/>
              <w:t>Özellik</w:t>
            </w:r>
          </w:p>
        </w:tc>
        <w:tc>
          <w:tcPr>
            <w:tcW w:w="955" w:type="dxa"/>
            <w:tcBorders/>
            <w:shd w:fill="CCCCCC" w:val="clear"/>
            <w:vAlign w:val="center"/>
          </w:tcPr>
          <w:p>
            <w:pPr>
              <w:pStyle w:val="TableHeading"/>
              <w:spacing w:before="0" w:after="200"/>
              <w:ind w:hanging="0" w:start="0" w:end="0"/>
              <w:rPr/>
            </w:pPr>
            <w:r>
              <w:rPr/>
              <w:t>Tür</w:t>
            </w:r>
          </w:p>
        </w:tc>
        <w:tc>
          <w:tcPr>
            <w:tcW w:w="5322" w:type="dxa"/>
            <w:tcBorders/>
            <w:shd w:fill="CCCCCC" w:val="clear"/>
            <w:vAlign w:val="center"/>
          </w:tcPr>
          <w:p>
            <w:pPr>
              <w:pStyle w:val="TableHeading"/>
              <w:spacing w:before="0" w:after="200"/>
              <w:ind w:hanging="0" w:start="0" w:end="0"/>
              <w:rPr/>
            </w:pPr>
            <w:r>
              <w:rPr/>
              <w:t>Özellik Bilgisi</w:t>
            </w:r>
          </w:p>
        </w:tc>
        <w:tc>
          <w:tcPr>
            <w:tcW w:w="554" w:type="dxa"/>
            <w:tcBorders/>
            <w:shd w:fill="CCCCCC" w:val="clear"/>
            <w:vAlign w:val="center"/>
          </w:tcPr>
          <w:p>
            <w:pPr>
              <w:pStyle w:val="TableHeading"/>
              <w:spacing w:before="0" w:after="200"/>
              <w:ind w:hanging="0" w:start="0" w:end="0"/>
              <w:rPr/>
            </w:pPr>
            <w:r>
              <w:rPr/>
              <w:t>Yön</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Şehir, Pist, Cinsiyet, Mesafe</w:t>
            </w:r>
          </w:p>
        </w:tc>
        <w:tc>
          <w:tcPr>
            <w:tcW w:w="955" w:type="dxa"/>
            <w:tcBorders/>
            <w:vAlign w:val="center"/>
          </w:tcPr>
          <w:p>
            <w:pPr>
              <w:pStyle w:val="TableContents"/>
              <w:spacing w:before="0" w:after="200"/>
              <w:ind w:hanging="0" w:start="0" w:end="0"/>
              <w:rPr/>
            </w:pPr>
            <w:r>
              <w:rPr/>
              <w:t>Kategorik</w:t>
            </w:r>
          </w:p>
        </w:tc>
        <w:tc>
          <w:tcPr>
            <w:tcW w:w="5322" w:type="dxa"/>
            <w:tcBorders/>
            <w:vAlign w:val="center"/>
          </w:tcPr>
          <w:p>
            <w:pPr>
              <w:pStyle w:val="TableContents"/>
              <w:spacing w:before="0" w:after="200"/>
              <w:ind w:hanging="0" w:start="0" w:end="0"/>
              <w:rPr/>
            </w:pPr>
            <w:r>
              <w:rPr/>
              <w:t>Hedef kodlamalarla (target encoding) dönüştürülmüş yarış dinamikleri</w:t>
            </w:r>
          </w:p>
        </w:tc>
        <w:tc>
          <w:tcPr>
            <w:tcW w:w="554" w:type="dxa"/>
            <w:tcBorders/>
            <w:vAlign w:val="center"/>
          </w:tcPr>
          <w:p>
            <w:pPr>
              <w:pStyle w:val="TableContents"/>
              <w:spacing w:before="0" w:after="200"/>
              <w:ind w:hanging="0" w:start="0" w:end="0"/>
              <w:rPr/>
            </w:pPr>
            <w:r>
              <w:rPr/>
              <w:t>Giriş</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Handikap Puanı, Sıklet</w:t>
            </w:r>
          </w:p>
        </w:tc>
        <w:tc>
          <w:tcPr>
            <w:tcW w:w="955" w:type="dxa"/>
            <w:tcBorders/>
            <w:vAlign w:val="center"/>
          </w:tcPr>
          <w:p>
            <w:pPr>
              <w:pStyle w:val="TableContents"/>
              <w:spacing w:before="0" w:after="200"/>
              <w:ind w:hanging="0" w:start="0" w:end="0"/>
              <w:rPr/>
            </w:pPr>
            <w:r>
              <w:rPr/>
              <w:t>Sayısal</w:t>
            </w:r>
          </w:p>
        </w:tc>
        <w:tc>
          <w:tcPr>
            <w:tcW w:w="5322" w:type="dxa"/>
            <w:tcBorders/>
            <w:vAlign w:val="center"/>
          </w:tcPr>
          <w:p>
            <w:pPr>
              <w:pStyle w:val="TableContents"/>
              <w:spacing w:before="0" w:after="200"/>
              <w:ind w:hanging="0" w:start="0" w:end="0"/>
              <w:rPr/>
            </w:pPr>
            <w:r>
              <w:rPr/>
              <w:t>Atın salt kütlesi/puanı ve rakiplerine göre görece (relative) farklılık değerleri</w:t>
            </w:r>
          </w:p>
        </w:tc>
        <w:tc>
          <w:tcPr>
            <w:tcW w:w="554" w:type="dxa"/>
            <w:tcBorders/>
            <w:vAlign w:val="center"/>
          </w:tcPr>
          <w:p>
            <w:pPr>
              <w:pStyle w:val="TableContents"/>
              <w:spacing w:before="0" w:after="200"/>
              <w:ind w:hanging="0" w:start="0" w:end="0"/>
              <w:rPr/>
            </w:pPr>
            <w:r>
              <w:rPr/>
              <w:t>Giriş</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Derece 400m (sn)</w:t>
            </w:r>
          </w:p>
        </w:tc>
        <w:tc>
          <w:tcPr>
            <w:tcW w:w="955" w:type="dxa"/>
            <w:tcBorders/>
            <w:vAlign w:val="center"/>
          </w:tcPr>
          <w:p>
            <w:pPr>
              <w:pStyle w:val="TableContents"/>
              <w:spacing w:before="0" w:after="200"/>
              <w:ind w:hanging="0" w:start="0" w:end="0"/>
              <w:rPr/>
            </w:pPr>
            <w:r>
              <w:rPr/>
              <w:t>Sayısal</w:t>
            </w:r>
          </w:p>
        </w:tc>
        <w:tc>
          <w:tcPr>
            <w:tcW w:w="5322" w:type="dxa"/>
            <w:tcBorders/>
            <w:vAlign w:val="center"/>
          </w:tcPr>
          <w:p>
            <w:pPr>
              <w:pStyle w:val="TableContents"/>
              <w:spacing w:before="0" w:after="200"/>
              <w:ind w:hanging="0" w:start="0" w:end="0"/>
              <w:rPr/>
            </w:pPr>
            <w:r>
              <w:rPr/>
              <w:t>Min: 21.5 - Maks: 30.0 (Son düzlük idman sprint süresi)</w:t>
            </w:r>
          </w:p>
        </w:tc>
        <w:tc>
          <w:tcPr>
            <w:tcW w:w="554" w:type="dxa"/>
            <w:tcBorders/>
            <w:vAlign w:val="center"/>
          </w:tcPr>
          <w:p>
            <w:pPr>
              <w:pStyle w:val="TableContents"/>
              <w:spacing w:before="0" w:after="200"/>
              <w:ind w:hanging="0" w:start="0" w:end="0"/>
              <w:rPr/>
            </w:pPr>
            <w:r>
              <w:rPr/>
              <w:t>Giriş</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Ganyan Sayı &amp; Olasılık</w:t>
            </w:r>
          </w:p>
        </w:tc>
        <w:tc>
          <w:tcPr>
            <w:tcW w:w="955" w:type="dxa"/>
            <w:tcBorders/>
            <w:vAlign w:val="center"/>
          </w:tcPr>
          <w:p>
            <w:pPr>
              <w:pStyle w:val="TableContents"/>
              <w:spacing w:before="0" w:after="200"/>
              <w:ind w:hanging="0" w:start="0" w:end="0"/>
              <w:rPr/>
            </w:pPr>
            <w:r>
              <w:rPr/>
              <w:t>Sayısal</w:t>
            </w:r>
          </w:p>
        </w:tc>
        <w:tc>
          <w:tcPr>
            <w:tcW w:w="5322" w:type="dxa"/>
            <w:tcBorders/>
            <w:vAlign w:val="center"/>
          </w:tcPr>
          <w:p>
            <w:pPr>
              <w:pStyle w:val="TableContents"/>
              <w:spacing w:before="0" w:after="200"/>
              <w:ind w:hanging="0" w:start="0" w:end="0"/>
              <w:rPr/>
            </w:pPr>
            <w:r>
              <w:rPr/>
              <w:t>Min: 1.05 - Maks: 150.0 (Piyasa tahmini katsayısı)</w:t>
            </w:r>
          </w:p>
        </w:tc>
        <w:tc>
          <w:tcPr>
            <w:tcW w:w="554" w:type="dxa"/>
            <w:tcBorders/>
            <w:vAlign w:val="center"/>
          </w:tcPr>
          <w:p>
            <w:pPr>
              <w:pStyle w:val="TableContents"/>
              <w:spacing w:before="0" w:after="200"/>
              <w:ind w:hanging="0" w:start="0" w:end="0"/>
              <w:rPr/>
            </w:pPr>
            <w:r>
              <w:rPr/>
              <w:t>Giriş</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Jokey, Antrenör, Baba Başarı</w:t>
            </w:r>
          </w:p>
        </w:tc>
        <w:tc>
          <w:tcPr>
            <w:tcW w:w="955" w:type="dxa"/>
            <w:tcBorders/>
            <w:vAlign w:val="center"/>
          </w:tcPr>
          <w:p>
            <w:pPr>
              <w:pStyle w:val="TableContents"/>
              <w:spacing w:before="0" w:after="200"/>
              <w:ind w:hanging="0" w:start="0" w:end="0"/>
              <w:rPr/>
            </w:pPr>
            <w:r>
              <w:rPr/>
              <w:t>Sayısal</w:t>
            </w:r>
          </w:p>
        </w:tc>
        <w:tc>
          <w:tcPr>
            <w:tcW w:w="5322" w:type="dxa"/>
            <w:tcBorders/>
            <w:vAlign w:val="center"/>
          </w:tcPr>
          <w:p>
            <w:pPr>
              <w:pStyle w:val="TableContents"/>
              <w:spacing w:before="0" w:after="200"/>
              <w:ind w:hanging="0" w:start="0" w:end="0"/>
              <w:rPr/>
            </w:pPr>
            <w:r>
              <w:rPr/>
              <w:t>0.0 ile 1.0 arası hedefe yönelik kümülatif kazanma/tabela oranı</w:t>
            </w:r>
          </w:p>
        </w:tc>
        <w:tc>
          <w:tcPr>
            <w:tcW w:w="554" w:type="dxa"/>
            <w:tcBorders/>
            <w:vAlign w:val="center"/>
          </w:tcPr>
          <w:p>
            <w:pPr>
              <w:pStyle w:val="TableContents"/>
              <w:spacing w:before="0" w:after="200"/>
              <w:ind w:hanging="0" w:start="0" w:end="0"/>
              <w:rPr/>
            </w:pPr>
            <w:r>
              <w:rPr/>
              <w:t>Giriş</w:t>
            </w:r>
          </w:p>
        </w:tc>
      </w:tr>
      <w:tr>
        <w:trPr/>
        <w:tc>
          <w:tcPr>
            <w:tcW w:w="2241" w:type="dxa"/>
            <w:tcBorders/>
            <w:shd w:fill="DDDDDD" w:val="clear"/>
            <w:vAlign w:val="center"/>
          </w:tcPr>
          <w:p>
            <w:pPr>
              <w:pStyle w:val="TableContents"/>
              <w:bidi w:val="0"/>
              <w:spacing w:lineRule="auto" w:line="276" w:before="0" w:after="200"/>
              <w:ind w:hanging="0" w:start="0" w:end="0"/>
              <w:jc w:val="start"/>
              <w:rPr/>
            </w:pPr>
            <w:r>
              <w:rPr>
                <w:rStyle w:val="Strong"/>
              </w:rPr>
              <w:t>Is_Winner, Is_Top3</w:t>
            </w:r>
          </w:p>
        </w:tc>
        <w:tc>
          <w:tcPr>
            <w:tcW w:w="955" w:type="dxa"/>
            <w:tcBorders/>
            <w:vAlign w:val="center"/>
          </w:tcPr>
          <w:p>
            <w:pPr>
              <w:pStyle w:val="TableContents"/>
              <w:spacing w:before="0" w:after="200"/>
              <w:ind w:hanging="0" w:start="0" w:end="0"/>
              <w:rPr/>
            </w:pPr>
            <w:r>
              <w:rPr/>
              <w:t>Kategorik</w:t>
            </w:r>
          </w:p>
        </w:tc>
        <w:tc>
          <w:tcPr>
            <w:tcW w:w="5322" w:type="dxa"/>
            <w:tcBorders/>
            <w:vAlign w:val="center"/>
          </w:tcPr>
          <w:p>
            <w:pPr>
              <w:pStyle w:val="TableContents"/>
              <w:spacing w:before="0" w:after="200"/>
              <w:ind w:hanging="0" w:start="0" w:end="0"/>
              <w:rPr/>
            </w:pPr>
            <w:r>
              <w:rPr/>
              <w:t>Hayır: 0 / Evet: 1 (Lojistik regresyon sınıfları)</w:t>
            </w:r>
          </w:p>
        </w:tc>
        <w:tc>
          <w:tcPr>
            <w:tcW w:w="554" w:type="dxa"/>
            <w:tcBorders/>
            <w:vAlign w:val="center"/>
          </w:tcPr>
          <w:p>
            <w:pPr>
              <w:pStyle w:val="TableContents"/>
              <w:widowControl w:val="false"/>
              <w:suppressLineNumbers/>
              <w:spacing w:before="0" w:after="200"/>
              <w:rPr/>
            </w:pPr>
            <w:r>
              <w:rPr/>
              <w:t>Çıktı</w:t>
            </w:r>
          </w:p>
        </w:tc>
      </w:tr>
    </w:tbl>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1"/>
          <w:numId w:val="2"/>
        </w:numPr>
        <w:spacing w:lineRule="auto" w:line="240" w:before="240" w:after="240"/>
        <w:ind w:hanging="284" w:start="284"/>
        <w:contextualSpacing w:val="false"/>
        <w:jc w:val="both"/>
        <w:rPr>
          <w:rFonts w:ascii="Times New Roman" w:hAnsi="Times New Roman" w:cs="Times New Roman"/>
          <w:b/>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Model Algoritmaları ve Yöntemler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Model sınıflandırma mimarisinde çeşitli ekollerden toplam 9 adet model değerlendirilmiştir. Doğrusal ve ağaç temelli (Logistic Regression, Random Forest), Gradyan Arttırılmış Ağaçlar (GBM’ler; viz., Gradient Boosting, XGBoost, LightGBM, CatBoost) ve son olarak Topluluk (Ensemble) algoritmaları (Voting Classifier, Bagging, Stacking Classifier) analiz edilmiştir.</w:t>
      </w:r>
      <w:r>
        <w:rPr>
          <w:rFonts w:cs="Times New Roman" w:ascii="Times New Roman" w:hAnsi="Times New Roman"/>
          <w:sz w:val="24"/>
          <w:szCs w:val="24"/>
        </w:rPr>
        <w:softHyphen/>
      </w:r>
      <w:r>
        <w:rPr>
          <w:rFonts w:cs="Times New Roman" w:ascii="Times New Roman" w:hAnsi="Times New Roman"/>
          <w:sz w:val="24"/>
          <w:szCs w:val="24"/>
        </w:rPr>
        <w:t xml:space="preserve"> Hiperparametre optimizasyon süreci, 50 denemeli "Optuna" çatısı kullanılarak "GroupKFold" Eğri Altında Kalan Alan (AUC) skorunu maksimize etme üzerine kurgulanmıştır.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softHyphen/>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tbl>
      <w:tblPr>
        <w:tblW w:w="9072" w:type="dxa"/>
        <w:jc w:val="start"/>
        <w:tblInd w:w="0" w:type="dxa"/>
        <w:tblLayout w:type="fixed"/>
        <w:tblCellMar>
          <w:top w:w="28" w:type="dxa"/>
          <w:start w:w="28" w:type="dxa"/>
          <w:bottom w:w="28" w:type="dxa"/>
          <w:end w:w="28" w:type="dxa"/>
        </w:tblCellMar>
      </w:tblPr>
      <w:tblGrid>
        <w:gridCol w:w="1620"/>
        <w:gridCol w:w="1682"/>
        <w:gridCol w:w="5770"/>
      </w:tblGrid>
      <w:tr>
        <w:trPr>
          <w:tblHeader w:val="true"/>
        </w:trPr>
        <w:tc>
          <w:tcPr>
            <w:tcW w:w="9072" w:type="dxa"/>
            <w:gridSpan w:val="3"/>
            <w:tcBorders/>
            <w:shd w:fill="B2B2B2" w:val="clear"/>
            <w:vAlign w:val="center"/>
          </w:tcPr>
          <w:p>
            <w:pPr>
              <w:pStyle w:val="TableHeading"/>
              <w:spacing w:before="0" w:after="200"/>
              <w:ind w:hanging="0" w:start="0" w:end="0"/>
              <w:jc w:val="start"/>
              <w:rPr/>
            </w:pPr>
            <w:r>
              <w:rPr/>
              <w:t>Tablo 2: Bu çalışmada kullanılan AI (Makine Öğrenmesi) modelleri</w:t>
            </w:r>
          </w:p>
        </w:tc>
      </w:tr>
      <w:tr>
        <w:trPr/>
        <w:tc>
          <w:tcPr>
            <w:tcW w:w="1620" w:type="dxa"/>
            <w:tcBorders/>
            <w:shd w:fill="CCCCCC" w:val="clear"/>
            <w:vAlign w:val="center"/>
          </w:tcPr>
          <w:p>
            <w:pPr>
              <w:pStyle w:val="TableHeading"/>
              <w:spacing w:before="0" w:after="200"/>
              <w:ind w:hanging="0" w:start="0" w:end="0"/>
              <w:rPr/>
            </w:pPr>
            <w:r>
              <w:rPr/>
              <w:t>Kategoriler</w:t>
            </w:r>
          </w:p>
        </w:tc>
        <w:tc>
          <w:tcPr>
            <w:tcW w:w="1682" w:type="dxa"/>
            <w:tcBorders/>
            <w:shd w:fill="CCCCCC" w:val="clear"/>
            <w:vAlign w:val="center"/>
          </w:tcPr>
          <w:p>
            <w:pPr>
              <w:pStyle w:val="TableHeading"/>
              <w:spacing w:before="0" w:after="200"/>
              <w:ind w:hanging="0" w:start="0" w:end="0"/>
              <w:rPr/>
            </w:pPr>
            <w:r>
              <w:rPr/>
              <w:t>Model / Kısaltma</w:t>
            </w:r>
          </w:p>
        </w:tc>
        <w:tc>
          <w:tcPr>
            <w:tcW w:w="5770" w:type="dxa"/>
            <w:tcBorders/>
            <w:shd w:fill="CCCCCC" w:val="clear"/>
            <w:vAlign w:val="center"/>
          </w:tcPr>
          <w:p>
            <w:pPr>
              <w:pStyle w:val="TableHeading"/>
              <w:spacing w:before="0" w:after="200"/>
              <w:ind w:hanging="0" w:start="0" w:end="0"/>
              <w:rPr/>
            </w:pPr>
            <w:r>
              <w:rPr/>
              <w:t>Açıklama</w:t>
            </w:r>
          </w:p>
        </w:tc>
      </w:tr>
      <w:tr>
        <w:trPr/>
        <w:tc>
          <w:tcPr>
            <w:tcW w:w="1620" w:type="dxa"/>
            <w:tcBorders/>
            <w:shd w:fill="DDDDDD" w:val="clear"/>
            <w:vAlign w:val="center"/>
          </w:tcPr>
          <w:p>
            <w:pPr>
              <w:pStyle w:val="TableContents"/>
              <w:spacing w:before="0" w:after="200"/>
              <w:ind w:hanging="0" w:start="0" w:end="0"/>
              <w:rPr/>
            </w:pPr>
            <w:r>
              <w:rPr>
                <w:rStyle w:val="Strong"/>
              </w:rPr>
              <w:t>Temel Sınıflandırıcı</w:t>
            </w:r>
          </w:p>
        </w:tc>
        <w:tc>
          <w:tcPr>
            <w:tcW w:w="1682" w:type="dxa"/>
            <w:tcBorders/>
            <w:vAlign w:val="center"/>
          </w:tcPr>
          <w:p>
            <w:pPr>
              <w:pStyle w:val="TableContents"/>
              <w:spacing w:before="0" w:after="200"/>
              <w:ind w:hanging="0" w:start="0" w:end="0"/>
              <w:rPr/>
            </w:pPr>
            <w:r>
              <w:rPr/>
              <w:t>Lojistik Regresyon (LR)</w:t>
            </w:r>
          </w:p>
        </w:tc>
        <w:tc>
          <w:tcPr>
            <w:tcW w:w="5770" w:type="dxa"/>
            <w:tcBorders/>
            <w:vAlign w:val="center"/>
          </w:tcPr>
          <w:p>
            <w:pPr>
              <w:pStyle w:val="TableContents"/>
              <w:spacing w:before="0" w:after="200"/>
              <w:ind w:hanging="0" w:start="0" w:end="0"/>
              <w:rPr/>
            </w:pPr>
            <w:r>
              <w:rPr/>
              <w:t>Verileri uygun bir mantıksal sigmoid eğrisine uyduran temel modeldir.</w:t>
            </w:r>
          </w:p>
        </w:tc>
      </w:tr>
      <w:tr>
        <w:trPr/>
        <w:tc>
          <w:tcPr>
            <w:tcW w:w="1620" w:type="dxa"/>
            <w:vMerge w:val="restart"/>
            <w:tcBorders/>
            <w:shd w:fill="EEEEEE" w:val="clear"/>
            <w:vAlign w:val="center"/>
          </w:tcPr>
          <w:p>
            <w:pPr>
              <w:pStyle w:val="TableContents"/>
              <w:spacing w:before="0" w:after="200"/>
              <w:ind w:hanging="0" w:start="0" w:end="0"/>
              <w:rPr/>
            </w:pPr>
            <w:r>
              <w:rPr>
                <w:rStyle w:val="Strong"/>
              </w:rPr>
              <w:t>Bagging (Torbalama)</w:t>
            </w:r>
          </w:p>
        </w:tc>
        <w:tc>
          <w:tcPr>
            <w:tcW w:w="1682" w:type="dxa"/>
            <w:tcBorders/>
            <w:vAlign w:val="center"/>
          </w:tcPr>
          <w:p>
            <w:pPr>
              <w:pStyle w:val="TableContents"/>
              <w:spacing w:before="0" w:after="200"/>
              <w:ind w:hanging="0" w:start="0" w:end="0"/>
              <w:rPr/>
            </w:pPr>
            <w:r>
              <w:rPr/>
              <w:t>Rastgele Orman (RF)</w:t>
            </w:r>
          </w:p>
        </w:tc>
        <w:tc>
          <w:tcPr>
            <w:tcW w:w="5770" w:type="dxa"/>
            <w:tcBorders/>
            <w:vAlign w:val="center"/>
          </w:tcPr>
          <w:p>
            <w:pPr>
              <w:pStyle w:val="TableContents"/>
              <w:spacing w:before="0" w:after="200"/>
              <w:ind w:hanging="0" w:start="0" w:end="0"/>
              <w:rPr/>
            </w:pPr>
            <w:r>
              <w:rPr/>
              <w:t>Varyansı ve "Overfitting" riskini düşürmek için birden fazla paralel karar ağacını birleştirir.</w:t>
            </w:r>
          </w:p>
        </w:tc>
      </w:tr>
      <w:tr>
        <w:trPr/>
        <w:tc>
          <w:tcPr>
            <w:tcW w:w="1620" w:type="dxa"/>
            <w:vMerge w:val="continue"/>
            <w:tcBorders/>
            <w:shd w:fill="DDDDDD" w:val="clear"/>
            <w:vAlign w:val="center"/>
          </w:tcPr>
          <w:p>
            <w:pPr>
              <w:pStyle w:val="TableContents"/>
              <w:spacing w:before="0" w:after="200"/>
              <w:ind w:hanging="0" w:start="0" w:end="0"/>
              <w:rPr/>
            </w:pPr>
            <w:r>
              <w:rPr/>
            </w:r>
          </w:p>
        </w:tc>
        <w:tc>
          <w:tcPr>
            <w:tcW w:w="1682" w:type="dxa"/>
            <w:tcBorders/>
            <w:vAlign w:val="center"/>
          </w:tcPr>
          <w:p>
            <w:pPr>
              <w:pStyle w:val="TableContents"/>
              <w:spacing w:before="0" w:after="200"/>
              <w:ind w:hanging="0" w:start="0" w:end="0"/>
              <w:rPr/>
            </w:pPr>
            <w:r>
              <w:rPr/>
              <w:t>Bagging LGBM</w:t>
            </w:r>
          </w:p>
        </w:tc>
        <w:tc>
          <w:tcPr>
            <w:tcW w:w="5770" w:type="dxa"/>
            <w:tcBorders/>
            <w:vAlign w:val="center"/>
          </w:tcPr>
          <w:p>
            <w:pPr>
              <w:pStyle w:val="TableContents"/>
              <w:spacing w:before="0" w:after="200"/>
              <w:ind w:hanging="0" w:start="0" w:end="0"/>
              <w:rPr/>
            </w:pPr>
            <w:r>
              <w:rPr/>
              <w:t>Sınıflandırıcı olarak ayrı LGBM modellerini farklı veri alt kümelerinde eğitir.</w:t>
            </w:r>
          </w:p>
        </w:tc>
      </w:tr>
      <w:tr>
        <w:trPr/>
        <w:tc>
          <w:tcPr>
            <w:tcW w:w="1620" w:type="dxa"/>
            <w:vMerge w:val="restart"/>
            <w:tcBorders/>
            <w:shd w:fill="DDDDDD" w:val="clear"/>
            <w:vAlign w:val="center"/>
          </w:tcPr>
          <w:p>
            <w:pPr>
              <w:pStyle w:val="TableContents"/>
              <w:spacing w:before="0" w:after="200"/>
              <w:ind w:hanging="0" w:start="0" w:end="0"/>
              <w:rPr/>
            </w:pPr>
            <w:r>
              <w:rPr>
                <w:rStyle w:val="Strong"/>
              </w:rPr>
              <w:t>Boosting (Arttırma)</w:t>
            </w:r>
          </w:p>
        </w:tc>
        <w:tc>
          <w:tcPr>
            <w:tcW w:w="1682" w:type="dxa"/>
            <w:tcBorders/>
            <w:vAlign w:val="center"/>
          </w:tcPr>
          <w:p>
            <w:pPr>
              <w:pStyle w:val="TableContents"/>
              <w:spacing w:before="0" w:after="200"/>
              <w:ind w:hanging="0" w:start="0" w:end="0"/>
              <w:rPr/>
            </w:pPr>
            <w:r>
              <w:rPr/>
              <w:t>Gradient Boosting (GBM)</w:t>
            </w:r>
          </w:p>
        </w:tc>
        <w:tc>
          <w:tcPr>
            <w:tcW w:w="5770" w:type="dxa"/>
            <w:tcBorders/>
            <w:vAlign w:val="center"/>
          </w:tcPr>
          <w:p>
            <w:pPr>
              <w:pStyle w:val="TableContents"/>
              <w:spacing w:before="0" w:after="200"/>
              <w:ind w:hanging="0" w:start="0" w:end="0"/>
              <w:rPr/>
            </w:pPr>
            <w:r>
              <w:rPr/>
              <w:t>Ağaçların hatalarından ders alarak ardışık şekilde birbirini geliştirdiği temel boosting modelidir.</w:t>
            </w:r>
          </w:p>
        </w:tc>
      </w:tr>
      <w:tr>
        <w:trPr/>
        <w:tc>
          <w:tcPr>
            <w:tcW w:w="1620" w:type="dxa"/>
            <w:vMerge w:val="continue"/>
            <w:tcBorders/>
            <w:shd w:fill="DDDDDD" w:val="clear"/>
            <w:vAlign w:val="center"/>
          </w:tcPr>
          <w:p>
            <w:pPr>
              <w:pStyle w:val="TableContents"/>
              <w:spacing w:before="0" w:after="200"/>
              <w:ind w:hanging="0" w:start="0" w:end="0"/>
              <w:rPr/>
            </w:pPr>
            <w:r>
              <w:rPr/>
            </w:r>
          </w:p>
        </w:tc>
        <w:tc>
          <w:tcPr>
            <w:tcW w:w="1682" w:type="dxa"/>
            <w:tcBorders/>
            <w:vAlign w:val="center"/>
          </w:tcPr>
          <w:p>
            <w:pPr>
              <w:pStyle w:val="TableContents"/>
              <w:spacing w:before="0" w:after="200"/>
              <w:ind w:hanging="0" w:start="0" w:end="0"/>
              <w:rPr/>
            </w:pPr>
            <w:r>
              <w:rPr/>
              <w:t>XGBoost (XGB)</w:t>
            </w:r>
          </w:p>
        </w:tc>
        <w:tc>
          <w:tcPr>
            <w:tcW w:w="5770" w:type="dxa"/>
            <w:tcBorders/>
            <w:vAlign w:val="center"/>
          </w:tcPr>
          <w:p>
            <w:pPr>
              <w:pStyle w:val="TableContents"/>
              <w:spacing w:before="0" w:after="200"/>
              <w:ind w:hanging="0" w:start="0" w:end="0"/>
              <w:rPr/>
            </w:pPr>
            <w:r>
              <w:rPr/>
              <w:t>Modellerin ardışık olarak güçlendiği, L1/L2 regülarizasyonlu optimize mimaridir.</w:t>
            </w:r>
          </w:p>
        </w:tc>
      </w:tr>
      <w:tr>
        <w:trPr/>
        <w:tc>
          <w:tcPr>
            <w:tcW w:w="1620" w:type="dxa"/>
            <w:vMerge w:val="continue"/>
            <w:tcBorders/>
            <w:shd w:fill="DDDDDD" w:val="clear"/>
            <w:vAlign w:val="center"/>
          </w:tcPr>
          <w:p>
            <w:pPr>
              <w:pStyle w:val="TableContents"/>
              <w:spacing w:before="0" w:after="200"/>
              <w:ind w:hanging="0" w:start="0" w:end="0"/>
              <w:rPr/>
            </w:pPr>
            <w:r>
              <w:rPr/>
            </w:r>
          </w:p>
        </w:tc>
        <w:tc>
          <w:tcPr>
            <w:tcW w:w="1682" w:type="dxa"/>
            <w:tcBorders/>
            <w:vAlign w:val="center"/>
          </w:tcPr>
          <w:p>
            <w:pPr>
              <w:pStyle w:val="TableContents"/>
              <w:spacing w:before="0" w:after="200"/>
              <w:ind w:hanging="0" w:start="0" w:end="0"/>
              <w:rPr/>
            </w:pPr>
            <w:r>
              <w:rPr/>
              <w:t>LightGBM (LGB)</w:t>
            </w:r>
          </w:p>
        </w:tc>
        <w:tc>
          <w:tcPr>
            <w:tcW w:w="5770" w:type="dxa"/>
            <w:tcBorders/>
            <w:vAlign w:val="center"/>
          </w:tcPr>
          <w:p>
            <w:pPr>
              <w:pStyle w:val="TableContents"/>
              <w:spacing w:before="0" w:after="200"/>
              <w:ind w:hanging="0" w:start="0" w:end="0"/>
              <w:rPr/>
            </w:pPr>
            <w:r>
              <w:rPr/>
              <w:t>Ağaçların derinlikten çok yaprak bazlı (leaf-wise) büyümesini esas alan çok hızlı yaklaşımdır.</w:t>
            </w:r>
          </w:p>
        </w:tc>
      </w:tr>
      <w:tr>
        <w:trPr/>
        <w:tc>
          <w:tcPr>
            <w:tcW w:w="1620" w:type="dxa"/>
            <w:vMerge w:val="continue"/>
            <w:tcBorders/>
            <w:shd w:fill="DDDDDD" w:val="clear"/>
            <w:vAlign w:val="center"/>
          </w:tcPr>
          <w:p>
            <w:pPr>
              <w:pStyle w:val="TableContents"/>
              <w:spacing w:before="0" w:after="200"/>
              <w:ind w:hanging="0" w:start="0" w:end="0"/>
              <w:rPr/>
            </w:pPr>
            <w:r>
              <w:rPr/>
            </w:r>
          </w:p>
        </w:tc>
        <w:tc>
          <w:tcPr>
            <w:tcW w:w="1682" w:type="dxa"/>
            <w:tcBorders/>
            <w:vAlign w:val="center"/>
          </w:tcPr>
          <w:p>
            <w:pPr>
              <w:pStyle w:val="TableContents"/>
              <w:spacing w:before="0" w:after="200"/>
              <w:ind w:hanging="0" w:start="0" w:end="0"/>
              <w:rPr/>
            </w:pPr>
            <w:r>
              <w:rPr/>
              <w:t>CatBoost (CAT)</w:t>
            </w:r>
          </w:p>
        </w:tc>
        <w:tc>
          <w:tcPr>
            <w:tcW w:w="5770" w:type="dxa"/>
            <w:tcBorders/>
            <w:vAlign w:val="center"/>
          </w:tcPr>
          <w:p>
            <w:pPr>
              <w:pStyle w:val="TableContents"/>
              <w:spacing w:before="0" w:after="200"/>
              <w:ind w:hanging="0" w:start="0" w:end="0"/>
              <w:rPr/>
            </w:pPr>
            <w:r>
              <w:rPr/>
              <w:t>Özellikle kategorik özellikler için özel hedef kodlama mekanizmaları barındıran boosting modelidir.</w:t>
            </w:r>
          </w:p>
        </w:tc>
      </w:tr>
      <w:tr>
        <w:trPr/>
        <w:tc>
          <w:tcPr>
            <w:tcW w:w="1620" w:type="dxa"/>
            <w:tcBorders/>
            <w:shd w:fill="EEEEEE" w:val="clear"/>
            <w:vAlign w:val="center"/>
          </w:tcPr>
          <w:p>
            <w:pPr>
              <w:pStyle w:val="TableContents"/>
              <w:spacing w:before="0" w:after="200"/>
              <w:ind w:hanging="0" w:start="0" w:end="0"/>
              <w:rPr/>
            </w:pPr>
            <w:r>
              <w:rPr>
                <w:rStyle w:val="Strong"/>
              </w:rPr>
              <w:t>Voting (Oylama)</w:t>
            </w:r>
          </w:p>
        </w:tc>
        <w:tc>
          <w:tcPr>
            <w:tcW w:w="1682" w:type="dxa"/>
            <w:tcBorders/>
            <w:vAlign w:val="center"/>
          </w:tcPr>
          <w:p>
            <w:pPr>
              <w:pStyle w:val="TableContents"/>
              <w:spacing w:before="0" w:after="200"/>
              <w:ind w:hanging="0" w:start="0" w:end="0"/>
              <w:rPr/>
            </w:pPr>
            <w:r>
              <w:rPr/>
              <w:t>Voting Ensemble</w:t>
            </w:r>
          </w:p>
        </w:tc>
        <w:tc>
          <w:tcPr>
            <w:tcW w:w="5770" w:type="dxa"/>
            <w:tcBorders/>
            <w:vAlign w:val="center"/>
          </w:tcPr>
          <w:p>
            <w:pPr>
              <w:pStyle w:val="TableContents"/>
              <w:spacing w:before="0" w:after="200"/>
              <w:ind w:hanging="0" w:start="0" w:end="0"/>
              <w:rPr/>
            </w:pPr>
            <w:r>
              <w:rPr/>
              <w:t>Bağımsız algoritmaların tahmin olasılıklarını (soft-voting) ortak bir kararda harmanlar.</w:t>
            </w:r>
          </w:p>
        </w:tc>
      </w:tr>
      <w:tr>
        <w:trPr/>
        <w:tc>
          <w:tcPr>
            <w:tcW w:w="1620" w:type="dxa"/>
            <w:tcBorders/>
            <w:shd w:fill="DDDDDD" w:val="clear"/>
            <w:vAlign w:val="center"/>
          </w:tcPr>
          <w:p>
            <w:pPr>
              <w:pStyle w:val="TableContents"/>
              <w:spacing w:before="0" w:after="200"/>
              <w:ind w:hanging="0" w:start="0" w:end="0"/>
              <w:rPr/>
            </w:pPr>
            <w:r>
              <w:rPr>
                <w:rStyle w:val="Strong"/>
              </w:rPr>
              <w:t>Stacking (Yığınlama)</w:t>
            </w:r>
          </w:p>
        </w:tc>
        <w:tc>
          <w:tcPr>
            <w:tcW w:w="1682" w:type="dxa"/>
            <w:tcBorders/>
            <w:vAlign w:val="center"/>
          </w:tcPr>
          <w:p>
            <w:pPr>
              <w:pStyle w:val="TableContents"/>
              <w:spacing w:before="0" w:after="200"/>
              <w:ind w:hanging="0" w:start="0" w:end="0"/>
              <w:rPr/>
            </w:pPr>
            <w:r>
              <w:rPr/>
              <w:t>Stacking Ensemble</w:t>
            </w:r>
          </w:p>
        </w:tc>
        <w:tc>
          <w:tcPr>
            <w:tcW w:w="5770" w:type="dxa"/>
            <w:tcBorders/>
            <w:vAlign w:val="center"/>
          </w:tcPr>
          <w:p>
            <w:pPr>
              <w:pStyle w:val="TableContents"/>
              <w:widowControl w:val="false"/>
              <w:suppressLineNumbers/>
              <w:spacing w:before="0" w:after="200"/>
              <w:rPr/>
            </w:pPr>
            <w:r>
              <w:rPr/>
              <w:t>Diğer zayıf öğrenicilerin tahmin olasılıklarını meta-özellik olarak alıp Lojistik meta-modeline sunan birleştiricidir.</w:t>
            </w:r>
          </w:p>
        </w:tc>
      </w:tr>
    </w:tbl>
    <w:p>
      <w:pPr>
        <w:pStyle w:val="Normal"/>
        <w:spacing w:lineRule="auto" w:line="240" w:before="240" w:after="240"/>
        <w:jc w:val="both"/>
        <w:rPr/>
      </w:pPr>
      <w:r>
        <w:rPr>
          <w:rFonts w:cs="Times New Roman" w:ascii="Times New Roman" w:hAnsi="Times New Roman"/>
          <w:sz w:val="24"/>
          <w:szCs w:val="24"/>
        </w:rPr>
        <w:t>"Çalışmada oluşturulan topluluk algoritmalarının veri mimarisi özel olarak tasarlanmıştır. </w:t>
      </w:r>
      <w:r>
        <w:rPr>
          <w:rStyle w:val="Strong"/>
          <w:rFonts w:cs="Times New Roman" w:ascii="Times New Roman" w:hAnsi="Times New Roman"/>
          <w:sz w:val="24"/>
          <w:szCs w:val="24"/>
        </w:rPr>
        <w:t>Voting Ensemble</w:t>
      </w:r>
      <w:r>
        <w:rPr>
          <w:rFonts w:cs="Times New Roman" w:ascii="Times New Roman" w:hAnsi="Times New Roman"/>
          <w:sz w:val="24"/>
          <w:szCs w:val="24"/>
        </w:rPr>
        <w:t> modeli, soft-voting yöntemiyle tahmin olasılıklarını ağırlıklı olarak birleştirmektedir; bu bağlamda sistemin işlem yükünü taşıyan boosting modellerine (LightGBM, XGBoost, CatBoost) 3 (üç) katsayı ağırlığı, Random Forest algoritmasına ise 1 (bir) katsayı ağırlığı atanmıştır. Daha sofistike bir birleştirici olan </w:t>
      </w:r>
      <w:r>
        <w:rPr>
          <w:rStyle w:val="Strong"/>
          <w:rFonts w:cs="Times New Roman" w:ascii="Times New Roman" w:hAnsi="Times New Roman"/>
          <w:sz w:val="24"/>
          <w:szCs w:val="24"/>
        </w:rPr>
        <w:t>Stacking Ensemble</w:t>
      </w:r>
      <w:r>
        <w:rPr>
          <w:rFonts w:cs="Times New Roman" w:ascii="Times New Roman" w:hAnsi="Times New Roman"/>
          <w:sz w:val="24"/>
          <w:szCs w:val="24"/>
        </w:rPr>
        <w:t> modeli ise iki katmanlı bir yapıdan oluşmaktadır. Seviye-1 (ilk katman zayıf öğreniciler) tahmincileri olarak XGBoost, LightGBM, CatBoost, Random Forest ve veri standardizasyonu sağlanmış Lojistik Regresyon modelleri çalıştırılır. İlk katmandan süzülen tahmin olasılıkları meta-özelliklere dönüştürülür ve Seviye-2 nihai karar (meta-model) katmanına sunulur. Birinci katmanın çıktılarını ezberleyerek (overfitting) oluşabilecek zaafiyetleri önlemek maksadıyla meta-model olarak oldukça sert L2 regülarizasyonuna (C=1.0) sahip karmaşıklıktan uzak, doğrusal Lojistik Regresyon kullanılmıştır."</w:t>
      </w:r>
    </w:p>
    <w:p>
      <w:pPr>
        <w:pStyle w:val="ListParagraph"/>
        <w:spacing w:lineRule="auto" w:line="240" w:before="240" w:after="240"/>
        <w:ind w:hanging="0" w:start="0"/>
        <w:contextualSpacing w:val="false"/>
        <w:jc w:val="both"/>
        <w:rPr/>
      </w:pPr>
      <w:r>
        <w:rPr/>
      </w:r>
    </w:p>
    <w:p>
      <w:pPr>
        <w:pStyle w:val="ListParagraph"/>
        <w:numPr>
          <w:ilvl w:val="0"/>
          <w:numId w:val="2"/>
        </w:numPr>
        <w:spacing w:lineRule="auto" w:line="240" w:before="240" w:after="240"/>
        <w:contextualSpacing w:val="false"/>
        <w:jc w:val="both"/>
        <w:rPr>
          <w:rFonts w:ascii="Times New Roman" w:hAnsi="Times New Roman" w:cs="Times New Roman"/>
          <w:b/>
          <w:sz w:val="24"/>
          <w:szCs w:val="24"/>
        </w:rPr>
      </w:pPr>
      <w:r>
        <w:rPr>
          <w:rFonts w:cs="Times New Roman" w:ascii="Times New Roman" w:hAnsi="Times New Roman"/>
          <w:b/>
          <w:sz w:val="24"/>
          <w:szCs w:val="24"/>
        </w:rPr>
        <w:t>BULGULAR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Eğitilen modellerin performansı "Birinci Tahmini (Is_Winner)" ve "Tabela Tahmini (Is_Top3)" olmak üzere iki ayrı görevde ölçümlenmiştir. Başarıları daha salt ve ispatlanabilir kılmak adına, her yarışta sadece ganyan favorisi olan ata oynanması durumu referans noktası (Ganyan Baseline) alınmıştır.</w:t>
      </w:r>
    </w:p>
    <w:p>
      <w:pPr>
        <w:pStyle w:val="ListParagraph"/>
        <w:numPr>
          <w:ilvl w:val="1"/>
          <w:numId w:val="2"/>
        </w:numPr>
        <w:spacing w:lineRule="auto" w:line="240" w:before="240" w:after="240"/>
        <w:contextualSpacing w:val="false"/>
        <w:jc w:val="both"/>
        <w:rPr>
          <w:rFonts w:ascii="Times New Roman" w:hAnsi="Times New Roman" w:cs="Times New Roman"/>
          <w:b/>
          <w:sz w:val="24"/>
          <w:szCs w:val="24"/>
        </w:rPr>
      </w:pPr>
      <w:r>
        <w:rPr>
          <w:rFonts w:cs="Times New Roman" w:ascii="Times New Roman" w:hAnsi="Times New Roman"/>
          <w:b/>
          <w:sz w:val="24"/>
          <w:szCs w:val="24"/>
        </w:rPr>
        <w:t>Birinci Tahminin Sonuçları (Is_Winner)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 xml:space="preserve">Baseline (referans) stratejisinde, piyasadaki genel kanının tespit ettiği en popüler atın yarışları kazanma ihtimali (P@1 - Doğruluk) %34.3 olarak ölçülmüştür. Bahis bazında karşılığı -%26.2 (yatırım zararı) olmuştur. Makine öğrenmesi algoritmaları optimizasyon sonucunda referans metriklerin oldukça üzerine çıkmıştır (Tablo </w:t>
      </w:r>
      <w:r>
        <w:rPr>
          <w:rFonts w:cs="Times New Roman" w:ascii="Times New Roman" w:hAnsi="Times New Roman"/>
          <w:sz w:val="24"/>
          <w:szCs w:val="24"/>
        </w:rPr>
        <w:t>3</w:t>
      </w:r>
      <w:r>
        <w:rPr>
          <w:rFonts w:cs="Times New Roman" w:ascii="Times New Roman" w:hAnsi="Times New Roman"/>
          <w:sz w:val="24"/>
          <w:szCs w:val="24"/>
        </w:rPr>
        <w:t>). En yüksek ayırt edicilik (AUC) skoru LightGBM algoritmasına aittir. Bununla birlikte nihai getiri oranlarında (Value Strategy ROI) StackingEnsemble %92.6 kâr oranına ve tatminkar tahmine ulaşarak şampiyon (production) model olarak tespit edilmiştir.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tbl>
      <w:tblPr>
        <w:tblW w:w="9072" w:type="dxa"/>
        <w:jc w:val="start"/>
        <w:tblInd w:w="0" w:type="dxa"/>
        <w:tblLayout w:type="fixed"/>
        <w:tblCellMar>
          <w:top w:w="28" w:type="dxa"/>
          <w:start w:w="28" w:type="dxa"/>
          <w:bottom w:w="28" w:type="dxa"/>
          <w:end w:w="28" w:type="dxa"/>
        </w:tblCellMar>
      </w:tblPr>
      <w:tblGrid>
        <w:gridCol w:w="1807"/>
        <w:gridCol w:w="1702"/>
        <w:gridCol w:w="2607"/>
        <w:gridCol w:w="2956"/>
      </w:tblGrid>
      <w:tr>
        <w:trPr>
          <w:tblHeader w:val="true"/>
          <w:trHeight w:val="597" w:hRule="atLeast"/>
        </w:trPr>
        <w:tc>
          <w:tcPr>
            <w:tcW w:w="9072" w:type="dxa"/>
            <w:gridSpan w:val="4"/>
            <w:tcBorders/>
            <w:shd w:fill="B2B2B2" w:val="clear"/>
            <w:vAlign w:val="center"/>
          </w:tcPr>
          <w:p>
            <w:pPr>
              <w:pStyle w:val="Normal"/>
              <w:spacing w:lineRule="auto" w:line="240" w:before="240" w:after="240"/>
              <w:jc w:val="start"/>
              <w:rPr>
                <w:rFonts w:ascii="Times New Roman" w:hAnsi="Times New Roman" w:cs="Times New Roman"/>
                <w:sz w:val="24"/>
                <w:szCs w:val="24"/>
              </w:rPr>
            </w:pPr>
            <w:r>
              <w:rPr>
                <w:rFonts w:cs="Times New Roman" w:ascii="Times New Roman" w:hAnsi="Times New Roman"/>
                <w:sz w:val="24"/>
                <w:szCs w:val="24"/>
              </w:rPr>
              <w:t xml:space="preserve">Tablo </w:t>
            </w:r>
            <w:r>
              <w:rPr>
                <w:rFonts w:cs="Times New Roman" w:ascii="Times New Roman" w:hAnsi="Times New Roman"/>
                <w:sz w:val="24"/>
                <w:szCs w:val="24"/>
              </w:rPr>
              <w:t>3</w:t>
            </w:r>
            <w:r>
              <w:rPr>
                <w:rFonts w:cs="Times New Roman" w:ascii="Times New Roman" w:hAnsi="Times New Roman"/>
                <w:sz w:val="24"/>
                <w:szCs w:val="24"/>
              </w:rPr>
              <w:t>: Kazanan Tahmini İçin Model Performansları (Is_Winner)</w:t>
            </w:r>
          </w:p>
        </w:tc>
      </w:tr>
      <w:tr>
        <w:trPr/>
        <w:tc>
          <w:tcPr>
            <w:tcW w:w="1807" w:type="dxa"/>
            <w:tcBorders/>
            <w:shd w:fill="CCCCCC" w:val="clear"/>
            <w:vAlign w:val="center"/>
          </w:tcPr>
          <w:p>
            <w:pPr>
              <w:pStyle w:val="TableHeading"/>
              <w:spacing w:before="0" w:after="200"/>
              <w:ind w:hanging="0" w:start="0" w:end="0"/>
              <w:jc w:val="center"/>
              <w:rPr/>
            </w:pPr>
            <w:r>
              <w:rPr/>
              <w:t>Model Algoritması</w:t>
            </w:r>
          </w:p>
        </w:tc>
        <w:tc>
          <w:tcPr>
            <w:tcW w:w="1702" w:type="dxa"/>
            <w:tcBorders/>
            <w:shd w:fill="CCCCCC" w:val="clear"/>
            <w:vAlign w:val="center"/>
          </w:tcPr>
          <w:p>
            <w:pPr>
              <w:pStyle w:val="TableHeading"/>
              <w:spacing w:before="0" w:after="200"/>
              <w:ind w:hanging="0" w:start="0" w:end="0"/>
              <w:jc w:val="center"/>
              <w:rPr/>
            </w:pPr>
            <w:r>
              <w:rPr/>
              <w:t>Eğri Altı Alan (AUC)</w:t>
            </w:r>
          </w:p>
        </w:tc>
        <w:tc>
          <w:tcPr>
            <w:tcW w:w="2607" w:type="dxa"/>
            <w:tcBorders/>
            <w:shd w:fill="CCCCCC" w:val="clear"/>
            <w:vAlign w:val="center"/>
          </w:tcPr>
          <w:p>
            <w:pPr>
              <w:pStyle w:val="TableHeading"/>
              <w:spacing w:before="0" w:after="200"/>
              <w:ind w:hanging="0" w:start="0" w:end="0"/>
              <w:jc w:val="center"/>
              <w:rPr/>
            </w:pPr>
            <w:r>
              <w:rPr/>
              <w:t>Sıra-1 İsabet Doğruluğu (P@1)</w:t>
            </w:r>
          </w:p>
        </w:tc>
        <w:tc>
          <w:tcPr>
            <w:tcW w:w="2956" w:type="dxa"/>
            <w:tcBorders/>
            <w:shd w:fill="CCCCCC" w:val="clear"/>
            <w:vAlign w:val="center"/>
          </w:tcPr>
          <w:p>
            <w:pPr>
              <w:pStyle w:val="TableHeading"/>
              <w:spacing w:before="0" w:after="200"/>
              <w:ind w:hanging="0" w:start="0" w:end="0"/>
              <w:jc w:val="center"/>
              <w:rPr/>
            </w:pPr>
            <w:r>
              <w:rPr/>
              <w:t>Değer Bahsi Stratejik Getirisi (ROI)</w:t>
            </w:r>
          </w:p>
        </w:tc>
      </w:tr>
      <w:tr>
        <w:trPr/>
        <w:tc>
          <w:tcPr>
            <w:tcW w:w="1807" w:type="dxa"/>
            <w:tcBorders/>
            <w:shd w:fill="DDDDDD" w:val="clear"/>
            <w:vAlign w:val="center"/>
          </w:tcPr>
          <w:p>
            <w:pPr>
              <w:pStyle w:val="TableContents"/>
              <w:spacing w:before="0" w:after="200"/>
              <w:ind w:hanging="0" w:start="0" w:end="0"/>
              <w:jc w:val="center"/>
              <w:rPr/>
            </w:pPr>
            <w:r>
              <w:rPr>
                <w:rStyle w:val="Strong"/>
              </w:rPr>
              <w:t>LightGBM</w:t>
            </w:r>
          </w:p>
        </w:tc>
        <w:tc>
          <w:tcPr>
            <w:tcW w:w="1702" w:type="dxa"/>
            <w:tcBorders/>
            <w:vAlign w:val="center"/>
          </w:tcPr>
          <w:p>
            <w:pPr>
              <w:pStyle w:val="TableContents"/>
              <w:spacing w:before="0" w:after="200"/>
              <w:ind w:hanging="0" w:start="0" w:end="0"/>
              <w:jc w:val="center"/>
              <w:rPr/>
            </w:pPr>
            <w:r>
              <w:rPr/>
              <w:t>0.8522</w:t>
            </w:r>
          </w:p>
        </w:tc>
        <w:tc>
          <w:tcPr>
            <w:tcW w:w="2607" w:type="dxa"/>
            <w:tcBorders/>
            <w:vAlign w:val="center"/>
          </w:tcPr>
          <w:p>
            <w:pPr>
              <w:pStyle w:val="TableContents"/>
              <w:spacing w:before="0" w:after="200"/>
              <w:ind w:hanging="0" w:start="0" w:end="0"/>
              <w:jc w:val="center"/>
              <w:rPr/>
            </w:pPr>
            <w:r>
              <w:rPr/>
              <w:t>%42.9</w:t>
            </w:r>
          </w:p>
        </w:tc>
        <w:tc>
          <w:tcPr>
            <w:tcW w:w="2956" w:type="dxa"/>
            <w:tcBorders/>
            <w:vAlign w:val="center"/>
          </w:tcPr>
          <w:p>
            <w:pPr>
              <w:pStyle w:val="TableContents"/>
              <w:spacing w:before="0" w:after="200"/>
              <w:ind w:hanging="0" w:start="0" w:end="0"/>
              <w:jc w:val="center"/>
              <w:rPr/>
            </w:pPr>
            <w:r>
              <w:rPr/>
              <w:t>+%36.4</w:t>
            </w:r>
          </w:p>
        </w:tc>
      </w:tr>
      <w:tr>
        <w:trPr/>
        <w:tc>
          <w:tcPr>
            <w:tcW w:w="1807" w:type="dxa"/>
            <w:tcBorders/>
            <w:shd w:fill="DDDDDD" w:val="clear"/>
            <w:vAlign w:val="center"/>
          </w:tcPr>
          <w:p>
            <w:pPr>
              <w:pStyle w:val="TableContents"/>
              <w:spacing w:before="0" w:after="200"/>
              <w:ind w:hanging="0" w:start="0" w:end="0"/>
              <w:jc w:val="center"/>
              <w:rPr/>
            </w:pPr>
            <w:r>
              <w:rPr>
                <w:rStyle w:val="Strong"/>
              </w:rPr>
              <w:t>XGBoost</w:t>
            </w:r>
          </w:p>
        </w:tc>
        <w:tc>
          <w:tcPr>
            <w:tcW w:w="1702" w:type="dxa"/>
            <w:tcBorders/>
            <w:vAlign w:val="center"/>
          </w:tcPr>
          <w:p>
            <w:pPr>
              <w:pStyle w:val="TableContents"/>
              <w:spacing w:before="0" w:after="200"/>
              <w:ind w:hanging="0" w:start="0" w:end="0"/>
              <w:jc w:val="center"/>
              <w:rPr/>
            </w:pPr>
            <w:r>
              <w:rPr/>
              <w:t>0.8502</w:t>
            </w:r>
          </w:p>
        </w:tc>
        <w:tc>
          <w:tcPr>
            <w:tcW w:w="2607" w:type="dxa"/>
            <w:tcBorders/>
            <w:vAlign w:val="center"/>
          </w:tcPr>
          <w:p>
            <w:pPr>
              <w:pStyle w:val="TableContents"/>
              <w:spacing w:before="0" w:after="200"/>
              <w:ind w:hanging="0" w:start="0" w:end="0"/>
              <w:jc w:val="center"/>
              <w:rPr/>
            </w:pPr>
            <w:r>
              <w:rPr/>
              <w:t>%41.8</w:t>
            </w:r>
          </w:p>
        </w:tc>
        <w:tc>
          <w:tcPr>
            <w:tcW w:w="2956" w:type="dxa"/>
            <w:tcBorders/>
            <w:vAlign w:val="center"/>
          </w:tcPr>
          <w:p>
            <w:pPr>
              <w:pStyle w:val="TableContents"/>
              <w:spacing w:before="0" w:after="200"/>
              <w:ind w:hanging="0" w:start="0" w:end="0"/>
              <w:jc w:val="center"/>
              <w:rPr/>
            </w:pPr>
            <w:r>
              <w:rPr/>
              <w:t>+%39.7</w:t>
            </w:r>
          </w:p>
        </w:tc>
      </w:tr>
      <w:tr>
        <w:trPr/>
        <w:tc>
          <w:tcPr>
            <w:tcW w:w="1807" w:type="dxa"/>
            <w:tcBorders/>
            <w:shd w:fill="DDDDDD" w:val="clear"/>
            <w:vAlign w:val="center"/>
          </w:tcPr>
          <w:p>
            <w:pPr>
              <w:pStyle w:val="TableContents"/>
              <w:spacing w:before="0" w:after="200"/>
              <w:ind w:hanging="0" w:start="0" w:end="0"/>
              <w:jc w:val="center"/>
              <w:rPr/>
            </w:pPr>
            <w:r>
              <w:rPr>
                <w:rStyle w:val="Strong"/>
              </w:rPr>
              <w:t>VotingEnsemble</w:t>
            </w:r>
          </w:p>
        </w:tc>
        <w:tc>
          <w:tcPr>
            <w:tcW w:w="1702" w:type="dxa"/>
            <w:tcBorders/>
            <w:vAlign w:val="center"/>
          </w:tcPr>
          <w:p>
            <w:pPr>
              <w:pStyle w:val="TableContents"/>
              <w:spacing w:before="0" w:after="200"/>
              <w:ind w:hanging="0" w:start="0" w:end="0"/>
              <w:jc w:val="center"/>
              <w:rPr/>
            </w:pPr>
            <w:r>
              <w:rPr/>
              <w:t>0.8499</w:t>
            </w:r>
          </w:p>
        </w:tc>
        <w:tc>
          <w:tcPr>
            <w:tcW w:w="2607" w:type="dxa"/>
            <w:tcBorders/>
            <w:vAlign w:val="center"/>
          </w:tcPr>
          <w:p>
            <w:pPr>
              <w:pStyle w:val="TableContents"/>
              <w:spacing w:before="0" w:after="200"/>
              <w:ind w:hanging="0" w:start="0" w:end="0"/>
              <w:jc w:val="center"/>
              <w:rPr/>
            </w:pPr>
            <w:r>
              <w:rPr/>
              <w:t>%41.3</w:t>
            </w:r>
          </w:p>
        </w:tc>
        <w:tc>
          <w:tcPr>
            <w:tcW w:w="2956" w:type="dxa"/>
            <w:tcBorders/>
            <w:vAlign w:val="center"/>
          </w:tcPr>
          <w:p>
            <w:pPr>
              <w:pStyle w:val="TableContents"/>
              <w:spacing w:before="0" w:after="200"/>
              <w:ind w:hanging="0" w:start="0" w:end="0"/>
              <w:jc w:val="center"/>
              <w:rPr/>
            </w:pPr>
            <w:r>
              <w:rPr/>
              <w:t>+%25.8</w:t>
            </w:r>
          </w:p>
        </w:tc>
      </w:tr>
      <w:tr>
        <w:trPr/>
        <w:tc>
          <w:tcPr>
            <w:tcW w:w="1807" w:type="dxa"/>
            <w:tcBorders/>
            <w:shd w:fill="DDDDDD" w:val="clear"/>
            <w:vAlign w:val="center"/>
          </w:tcPr>
          <w:p>
            <w:pPr>
              <w:pStyle w:val="TableContents"/>
              <w:spacing w:before="0" w:after="200"/>
              <w:ind w:hanging="0" w:start="0" w:end="0"/>
              <w:jc w:val="center"/>
              <w:rPr/>
            </w:pPr>
            <w:r>
              <w:rPr>
                <w:rStyle w:val="Strong"/>
              </w:rPr>
              <w:t>CatBoost</w:t>
            </w:r>
          </w:p>
        </w:tc>
        <w:tc>
          <w:tcPr>
            <w:tcW w:w="1702" w:type="dxa"/>
            <w:tcBorders/>
            <w:vAlign w:val="center"/>
          </w:tcPr>
          <w:p>
            <w:pPr>
              <w:pStyle w:val="TableContents"/>
              <w:spacing w:before="0" w:after="200"/>
              <w:ind w:hanging="0" w:start="0" w:end="0"/>
              <w:jc w:val="center"/>
              <w:rPr/>
            </w:pPr>
            <w:r>
              <w:rPr/>
              <w:t>0.8492</w:t>
            </w:r>
          </w:p>
        </w:tc>
        <w:tc>
          <w:tcPr>
            <w:tcW w:w="2607" w:type="dxa"/>
            <w:tcBorders/>
            <w:vAlign w:val="center"/>
          </w:tcPr>
          <w:p>
            <w:pPr>
              <w:pStyle w:val="TableContents"/>
              <w:spacing w:before="0" w:after="200"/>
              <w:ind w:hanging="0" w:start="0" w:end="0"/>
              <w:jc w:val="center"/>
              <w:rPr/>
            </w:pPr>
            <w:r>
              <w:rPr/>
              <w:t>%41.8</w:t>
            </w:r>
          </w:p>
        </w:tc>
        <w:tc>
          <w:tcPr>
            <w:tcW w:w="2956" w:type="dxa"/>
            <w:tcBorders/>
            <w:vAlign w:val="center"/>
          </w:tcPr>
          <w:p>
            <w:pPr>
              <w:pStyle w:val="TableContents"/>
              <w:spacing w:before="0" w:after="200"/>
              <w:ind w:hanging="0" w:start="0" w:end="0"/>
              <w:jc w:val="center"/>
              <w:rPr/>
            </w:pPr>
            <w:r>
              <w:rPr/>
              <w:t>+%25.4</w:t>
            </w:r>
          </w:p>
        </w:tc>
      </w:tr>
      <w:tr>
        <w:trPr/>
        <w:tc>
          <w:tcPr>
            <w:tcW w:w="1807" w:type="dxa"/>
            <w:tcBorders/>
            <w:shd w:fill="DDDDDD" w:val="clear"/>
            <w:vAlign w:val="center"/>
          </w:tcPr>
          <w:p>
            <w:pPr>
              <w:pStyle w:val="TableContents"/>
              <w:spacing w:before="0" w:after="200"/>
              <w:ind w:hanging="0" w:start="0" w:end="0"/>
              <w:jc w:val="center"/>
              <w:rPr/>
            </w:pPr>
            <w:r>
              <w:rPr>
                <w:rStyle w:val="Strong"/>
              </w:rPr>
              <w:t>StackingEnsemble</w:t>
            </w:r>
          </w:p>
        </w:tc>
        <w:tc>
          <w:tcPr>
            <w:tcW w:w="1702" w:type="dxa"/>
            <w:tcBorders/>
            <w:vAlign w:val="center"/>
          </w:tcPr>
          <w:p>
            <w:pPr>
              <w:pStyle w:val="TableContents"/>
              <w:spacing w:before="0" w:after="200"/>
              <w:ind w:hanging="0" w:start="0" w:end="0"/>
              <w:jc w:val="center"/>
              <w:rPr/>
            </w:pPr>
            <w:r>
              <w:rPr/>
              <w:t>0.8473</w:t>
            </w:r>
          </w:p>
        </w:tc>
        <w:tc>
          <w:tcPr>
            <w:tcW w:w="2607" w:type="dxa"/>
            <w:tcBorders/>
            <w:vAlign w:val="center"/>
          </w:tcPr>
          <w:p>
            <w:pPr>
              <w:pStyle w:val="TableContents"/>
              <w:spacing w:before="0" w:after="200"/>
              <w:ind w:hanging="0" w:start="0" w:end="0"/>
              <w:jc w:val="center"/>
              <w:rPr/>
            </w:pPr>
            <w:r>
              <w:rPr/>
              <w:t>%41.7</w:t>
            </w:r>
          </w:p>
        </w:tc>
        <w:tc>
          <w:tcPr>
            <w:tcW w:w="2956" w:type="dxa"/>
            <w:tcBorders/>
            <w:vAlign w:val="center"/>
          </w:tcPr>
          <w:p>
            <w:pPr>
              <w:pStyle w:val="TableContents"/>
              <w:spacing w:before="0" w:after="200"/>
              <w:ind w:hanging="0" w:start="0" w:end="0"/>
              <w:jc w:val="center"/>
              <w:rPr/>
            </w:pPr>
            <w:r>
              <w:rPr>
                <w:rStyle w:val="Strong"/>
              </w:rPr>
              <w:t>+%92.6</w:t>
            </w:r>
          </w:p>
        </w:tc>
      </w:tr>
      <w:tr>
        <w:trPr/>
        <w:tc>
          <w:tcPr>
            <w:tcW w:w="1807" w:type="dxa"/>
            <w:tcBorders/>
            <w:shd w:fill="DDDDDD" w:val="clear"/>
            <w:vAlign w:val="center"/>
          </w:tcPr>
          <w:p>
            <w:pPr>
              <w:pStyle w:val="TableContents"/>
              <w:spacing w:before="0" w:after="200"/>
              <w:ind w:hanging="0" w:start="0" w:end="0"/>
              <w:jc w:val="center"/>
              <w:rPr/>
            </w:pPr>
            <w:r>
              <w:rPr>
                <w:rStyle w:val="Strong"/>
              </w:rPr>
              <w:t>GradientBoosting</w:t>
            </w:r>
          </w:p>
        </w:tc>
        <w:tc>
          <w:tcPr>
            <w:tcW w:w="1702" w:type="dxa"/>
            <w:tcBorders/>
            <w:vAlign w:val="center"/>
          </w:tcPr>
          <w:p>
            <w:pPr>
              <w:pStyle w:val="TableContents"/>
              <w:spacing w:before="0" w:after="200"/>
              <w:ind w:hanging="0" w:start="0" w:end="0"/>
              <w:jc w:val="center"/>
              <w:rPr/>
            </w:pPr>
            <w:r>
              <w:rPr/>
              <w:t>0.8447</w:t>
            </w:r>
          </w:p>
        </w:tc>
        <w:tc>
          <w:tcPr>
            <w:tcW w:w="2607" w:type="dxa"/>
            <w:tcBorders/>
            <w:vAlign w:val="center"/>
          </w:tcPr>
          <w:p>
            <w:pPr>
              <w:pStyle w:val="TableContents"/>
              <w:spacing w:before="0" w:after="200"/>
              <w:ind w:hanging="0" w:start="0" w:end="0"/>
              <w:jc w:val="center"/>
              <w:rPr/>
            </w:pPr>
            <w:r>
              <w:rPr/>
              <w:t>%41.2</w:t>
            </w:r>
          </w:p>
        </w:tc>
        <w:tc>
          <w:tcPr>
            <w:tcW w:w="2956" w:type="dxa"/>
            <w:tcBorders/>
            <w:vAlign w:val="center"/>
          </w:tcPr>
          <w:p>
            <w:pPr>
              <w:pStyle w:val="TableContents"/>
              <w:spacing w:before="0" w:after="200"/>
              <w:ind w:hanging="0" w:start="0" w:end="0"/>
              <w:jc w:val="center"/>
              <w:rPr/>
            </w:pPr>
            <w:r>
              <w:rPr/>
              <w:t>+%94.7</w:t>
            </w:r>
          </w:p>
        </w:tc>
      </w:tr>
      <w:tr>
        <w:trPr/>
        <w:tc>
          <w:tcPr>
            <w:tcW w:w="1807" w:type="dxa"/>
            <w:tcBorders/>
            <w:shd w:fill="DDDDDD" w:val="clear"/>
            <w:vAlign w:val="center"/>
          </w:tcPr>
          <w:p>
            <w:pPr>
              <w:pStyle w:val="TableContents"/>
              <w:spacing w:before="0" w:after="200"/>
              <w:ind w:hanging="0" w:start="0" w:end="0"/>
              <w:jc w:val="center"/>
              <w:rPr/>
            </w:pPr>
            <w:r>
              <w:rPr>
                <w:rStyle w:val="Strong"/>
              </w:rPr>
              <w:t>BaggingLGBM</w:t>
            </w:r>
          </w:p>
        </w:tc>
        <w:tc>
          <w:tcPr>
            <w:tcW w:w="1702" w:type="dxa"/>
            <w:tcBorders/>
            <w:vAlign w:val="center"/>
          </w:tcPr>
          <w:p>
            <w:pPr>
              <w:pStyle w:val="TableContents"/>
              <w:spacing w:before="0" w:after="200"/>
              <w:ind w:hanging="0" w:start="0" w:end="0"/>
              <w:jc w:val="center"/>
              <w:rPr/>
            </w:pPr>
            <w:r>
              <w:rPr/>
              <w:t>0.8426</w:t>
            </w:r>
          </w:p>
        </w:tc>
        <w:tc>
          <w:tcPr>
            <w:tcW w:w="2607" w:type="dxa"/>
            <w:tcBorders/>
            <w:vAlign w:val="center"/>
          </w:tcPr>
          <w:p>
            <w:pPr>
              <w:pStyle w:val="TableContents"/>
              <w:spacing w:before="0" w:after="200"/>
              <w:ind w:hanging="0" w:start="0" w:end="0"/>
              <w:jc w:val="center"/>
              <w:rPr/>
            </w:pPr>
            <w:r>
              <w:rPr/>
              <w:t>%40.9</w:t>
            </w:r>
          </w:p>
        </w:tc>
        <w:tc>
          <w:tcPr>
            <w:tcW w:w="2956" w:type="dxa"/>
            <w:tcBorders/>
            <w:vAlign w:val="center"/>
          </w:tcPr>
          <w:p>
            <w:pPr>
              <w:pStyle w:val="TableContents"/>
              <w:spacing w:before="0" w:after="200"/>
              <w:ind w:hanging="0" w:start="0" w:end="0"/>
              <w:jc w:val="center"/>
              <w:rPr/>
            </w:pPr>
            <w:r>
              <w:rPr/>
              <w:t>+%31.9</w:t>
            </w:r>
          </w:p>
        </w:tc>
      </w:tr>
      <w:tr>
        <w:trPr/>
        <w:tc>
          <w:tcPr>
            <w:tcW w:w="1807" w:type="dxa"/>
            <w:tcBorders/>
            <w:shd w:fill="DDDDDD" w:val="clear"/>
            <w:vAlign w:val="center"/>
          </w:tcPr>
          <w:p>
            <w:pPr>
              <w:pStyle w:val="TableContents"/>
              <w:spacing w:before="0" w:after="200"/>
              <w:ind w:hanging="0" w:start="0" w:end="0"/>
              <w:jc w:val="center"/>
              <w:rPr/>
            </w:pPr>
            <w:r>
              <w:rPr>
                <w:rStyle w:val="Strong"/>
              </w:rPr>
              <w:t>LogisticRegression</w:t>
            </w:r>
          </w:p>
        </w:tc>
        <w:tc>
          <w:tcPr>
            <w:tcW w:w="1702" w:type="dxa"/>
            <w:tcBorders/>
            <w:vAlign w:val="center"/>
          </w:tcPr>
          <w:p>
            <w:pPr>
              <w:pStyle w:val="TableContents"/>
              <w:spacing w:before="0" w:after="200"/>
              <w:ind w:hanging="0" w:start="0" w:end="0"/>
              <w:jc w:val="center"/>
              <w:rPr/>
            </w:pPr>
            <w:r>
              <w:rPr/>
              <w:t>0.8364</w:t>
            </w:r>
          </w:p>
        </w:tc>
        <w:tc>
          <w:tcPr>
            <w:tcW w:w="2607" w:type="dxa"/>
            <w:tcBorders/>
            <w:vAlign w:val="center"/>
          </w:tcPr>
          <w:p>
            <w:pPr>
              <w:pStyle w:val="TableContents"/>
              <w:spacing w:before="0" w:after="200"/>
              <w:ind w:hanging="0" w:start="0" w:end="0"/>
              <w:jc w:val="center"/>
              <w:rPr/>
            </w:pPr>
            <w:r>
              <w:rPr/>
              <w:t>%40.3</w:t>
            </w:r>
          </w:p>
        </w:tc>
        <w:tc>
          <w:tcPr>
            <w:tcW w:w="2956" w:type="dxa"/>
            <w:tcBorders/>
            <w:vAlign w:val="center"/>
          </w:tcPr>
          <w:p>
            <w:pPr>
              <w:pStyle w:val="TableContents"/>
              <w:spacing w:before="0" w:after="200"/>
              <w:ind w:hanging="0" w:start="0" w:end="0"/>
              <w:jc w:val="center"/>
              <w:rPr/>
            </w:pPr>
            <w:r>
              <w:rPr/>
              <w:t>+%32.0</w:t>
            </w:r>
          </w:p>
        </w:tc>
      </w:tr>
      <w:tr>
        <w:trPr/>
        <w:tc>
          <w:tcPr>
            <w:tcW w:w="1807" w:type="dxa"/>
            <w:tcBorders/>
            <w:shd w:fill="DDDDDD" w:val="clear"/>
            <w:vAlign w:val="center"/>
          </w:tcPr>
          <w:p>
            <w:pPr>
              <w:pStyle w:val="TableContents"/>
              <w:spacing w:before="0" w:after="200"/>
              <w:ind w:hanging="0" w:start="0" w:end="0"/>
              <w:jc w:val="center"/>
              <w:rPr/>
            </w:pPr>
            <w:r>
              <w:rPr>
                <w:rStyle w:val="Strong"/>
              </w:rPr>
              <w:t>RandomForest</w:t>
            </w:r>
          </w:p>
        </w:tc>
        <w:tc>
          <w:tcPr>
            <w:tcW w:w="1702" w:type="dxa"/>
            <w:tcBorders/>
            <w:vAlign w:val="center"/>
          </w:tcPr>
          <w:p>
            <w:pPr>
              <w:pStyle w:val="TableContents"/>
              <w:spacing w:before="0" w:after="200"/>
              <w:ind w:hanging="0" w:start="0" w:end="0"/>
              <w:jc w:val="center"/>
              <w:rPr/>
            </w:pPr>
            <w:r>
              <w:rPr/>
              <w:t>0.8305</w:t>
            </w:r>
          </w:p>
        </w:tc>
        <w:tc>
          <w:tcPr>
            <w:tcW w:w="2607" w:type="dxa"/>
            <w:tcBorders/>
            <w:vAlign w:val="center"/>
          </w:tcPr>
          <w:p>
            <w:pPr>
              <w:pStyle w:val="TableContents"/>
              <w:spacing w:before="0" w:after="200"/>
              <w:ind w:hanging="0" w:start="0" w:end="0"/>
              <w:jc w:val="center"/>
              <w:rPr/>
            </w:pPr>
            <w:r>
              <w:rPr/>
              <w:t>%38.4</w:t>
            </w:r>
          </w:p>
        </w:tc>
        <w:tc>
          <w:tcPr>
            <w:tcW w:w="2956" w:type="dxa"/>
            <w:tcBorders/>
            <w:vAlign w:val="center"/>
          </w:tcPr>
          <w:p>
            <w:pPr>
              <w:pStyle w:val="TableContents"/>
              <w:spacing w:before="0" w:after="200"/>
              <w:jc w:val="center"/>
              <w:rPr/>
            </w:pPr>
            <w:r>
              <w:rPr/>
              <w:t>-%0.8</w:t>
            </w:r>
          </w:p>
        </w:tc>
      </w:tr>
    </w:tbl>
    <w:p>
      <w:pPr>
        <w:pStyle w:val="Normal"/>
        <w:spacing w:lineRule="auto" w:line="240" w:before="240" w:after="24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center"/>
        <w:rPr>
          <w:rFonts w:ascii="Times New Roman" w:hAnsi="Times New Roman" w:cs="Times New Roman"/>
          <w:sz w:val="18"/>
          <w:szCs w:val="18"/>
        </w:rPr>
      </w:pPr>
      <w:r>
        <w:drawing>
          <wp:anchor behindDoc="0" distT="0" distB="0" distL="0" distR="0" simplePos="0" locked="0" layoutInCell="0" allowOverlap="1" relativeHeight="4">
            <wp:simplePos x="0" y="0"/>
            <wp:positionH relativeFrom="column">
              <wp:posOffset>-159385</wp:posOffset>
            </wp:positionH>
            <wp:positionV relativeFrom="paragraph">
              <wp:posOffset>-59055</wp:posOffset>
            </wp:positionV>
            <wp:extent cx="5955665" cy="191008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5"/>
                    <a:srcRect l="0" t="6578" r="337" b="0"/>
                    <a:stretch>
                      <a:fillRect/>
                    </a:stretch>
                  </pic:blipFill>
                  <pic:spPr bwMode="auto">
                    <a:xfrm>
                      <a:off x="0" y="0"/>
                      <a:ext cx="5955665" cy="1910080"/>
                    </a:xfrm>
                    <a:prstGeom prst="rect">
                      <a:avLst/>
                    </a:prstGeom>
                    <a:noFill/>
                  </pic:spPr>
                </pic:pic>
              </a:graphicData>
            </a:graphic>
          </wp:anchor>
        </w:drawing>
      </w:r>
      <w:r>
        <w:rPr>
          <w:rFonts w:cs="Times New Roman" w:ascii="Times New Roman" w:hAnsi="Times New Roman"/>
          <w:sz w:val="18"/>
          <w:szCs w:val="18"/>
        </w:rPr>
        <w:t>Şekil 1: Birincilik (Is_Winner) tahmini algoritmalarının AUC, isabet oranı (P@1) ve ROI düzeyindeki performans grafikleri</w:t>
      </w:r>
    </w:p>
    <w:p>
      <w:pPr>
        <w:pStyle w:val="ListParagraph"/>
        <w:numPr>
          <w:ilvl w:val="1"/>
          <w:numId w:val="2"/>
        </w:numPr>
        <w:spacing w:lineRule="auto" w:line="240" w:before="240" w:after="240"/>
        <w:contextualSpacing w:val="false"/>
        <w:jc w:val="both"/>
        <w:rPr>
          <w:rFonts w:ascii="Times New Roman" w:hAnsi="Times New Roman" w:cs="Times New Roman"/>
          <w:b/>
          <w:sz w:val="24"/>
          <w:szCs w:val="24"/>
        </w:rPr>
      </w:pPr>
      <w:r>
        <w:rPr>
          <w:rFonts w:cs="Times New Roman" w:ascii="Times New Roman" w:hAnsi="Times New Roman"/>
          <w:b/>
          <w:sz w:val="24"/>
          <w:szCs w:val="24"/>
        </w:rPr>
        <w:t>Tabela Tahmini Sonuçları (Is_Top3)</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 xml:space="preserve">Hedef değişkenin ilk üç sıra olarak ele alındığı model kümesinde başarı tavan oranları yükselmiştir. Tablo </w:t>
      </w:r>
      <w:r>
        <w:rPr>
          <w:rFonts w:cs="Times New Roman" w:ascii="Times New Roman" w:hAnsi="Times New Roman"/>
          <w:sz w:val="24"/>
          <w:szCs w:val="24"/>
        </w:rPr>
        <w:t>4</w:t>
      </w:r>
      <w:r>
        <w:rPr>
          <w:rFonts w:cs="Times New Roman" w:ascii="Times New Roman" w:hAnsi="Times New Roman"/>
          <w:sz w:val="24"/>
          <w:szCs w:val="24"/>
        </w:rPr>
        <w:t>’te görüldüğü üzere XGBoost modeli %73.5 isabet ve oldukça ekstrem olan +%137.4 kazanç metriği ile bu hedefin tartışılmaz öncüsü konumundadır.</w:t>
      </w:r>
    </w:p>
    <w:p>
      <w:pPr>
        <w:pStyle w:val="ListParagraph"/>
        <w:spacing w:lineRule="auto" w:line="240" w:before="240" w:after="240"/>
        <w:ind w:hanging="0" w:start="0"/>
        <w:contextualSpacing w:val="false"/>
        <w:jc w:val="both"/>
        <w:rPr>
          <w:rFonts w:ascii="Times New Roman" w:hAnsi="Times New Roman" w:cs="Times New Roman"/>
          <w:b/>
          <w:sz w:val="24"/>
          <w:szCs w:val="24"/>
        </w:rPr>
      </w:pPr>
      <w:r>
        <w:rPr>
          <w:rFonts w:cs="Times New Roman" w:ascii="Times New Roman" w:hAnsi="Times New Roman"/>
          <w:b/>
          <w:sz w:val="24"/>
          <w:szCs w:val="24"/>
        </w:rPr>
      </w:r>
    </w:p>
    <w:p>
      <w:pPr>
        <w:pStyle w:val="ListParagraph"/>
        <w:spacing w:lineRule="auto" w:line="240" w:before="240" w:after="240"/>
        <w:ind w:hanging="0" w:start="0"/>
        <w:contextualSpacing w:val="false"/>
        <w:jc w:val="both"/>
        <w:rPr>
          <w:rFonts w:ascii="Times New Roman" w:hAnsi="Times New Roman" w:cs="Times New Roman"/>
          <w:b/>
          <w:sz w:val="24"/>
          <w:szCs w:val="24"/>
        </w:rPr>
      </w:pPr>
      <w:r>
        <w:rPr>
          <w:rFonts w:cs="Times New Roman" w:ascii="Times New Roman" w:hAnsi="Times New Roman"/>
          <w:b/>
          <w:sz w:val="24"/>
          <w:szCs w:val="24"/>
        </w:rPr>
      </w:r>
    </w:p>
    <w:p>
      <w:pPr>
        <w:pStyle w:val="ListParagraph"/>
        <w:spacing w:lineRule="auto" w:line="240" w:before="240" w:after="240"/>
        <w:ind w:hanging="0" w:start="0"/>
        <w:contextualSpacing w:val="false"/>
        <w:jc w:val="center"/>
        <w:rPr>
          <w:rFonts w:ascii="Times New Roman" w:hAnsi="Times New Roman" w:cs="Times New Roman"/>
          <w:b/>
          <w:sz w:val="24"/>
          <w:szCs w:val="24"/>
        </w:rPr>
      </w:pPr>
      <w:r>
        <w:rPr>
          <w:rFonts w:cs="Times New Roman" w:ascii="Times New Roman" w:hAnsi="Times New Roman"/>
          <w:b/>
          <w:sz w:val="24"/>
          <w:szCs w:val="24"/>
        </w:rPr>
      </w:r>
    </w:p>
    <w:tbl>
      <w:tblPr>
        <w:tblW w:w="9072" w:type="dxa"/>
        <w:jc w:val="start"/>
        <w:tblInd w:w="0" w:type="dxa"/>
        <w:tblLayout w:type="fixed"/>
        <w:tblCellMar>
          <w:top w:w="28" w:type="dxa"/>
          <w:start w:w="28" w:type="dxa"/>
          <w:bottom w:w="28" w:type="dxa"/>
          <w:end w:w="28" w:type="dxa"/>
        </w:tblCellMar>
      </w:tblPr>
      <w:tblGrid>
        <w:gridCol w:w="1807"/>
        <w:gridCol w:w="1702"/>
        <w:gridCol w:w="2606"/>
        <w:gridCol w:w="2957"/>
      </w:tblGrid>
      <w:tr>
        <w:trPr>
          <w:tblHeader w:val="true"/>
        </w:trPr>
        <w:tc>
          <w:tcPr>
            <w:tcW w:w="9072" w:type="dxa"/>
            <w:gridSpan w:val="4"/>
            <w:tcBorders/>
            <w:shd w:fill="B2B2B2" w:val="clear"/>
            <w:vAlign w:val="center"/>
          </w:tcPr>
          <w:p>
            <w:pPr>
              <w:pStyle w:val="Normal"/>
              <w:spacing w:lineRule="auto" w:line="240" w:before="240" w:after="240"/>
              <w:rPr>
                <w:rFonts w:ascii="Times New Roman" w:hAnsi="Times New Roman" w:cs="Times New Roman"/>
                <w:sz w:val="24"/>
                <w:szCs w:val="24"/>
              </w:rPr>
            </w:pPr>
            <w:r>
              <w:rPr>
                <w:rFonts w:cs="Times New Roman" w:ascii="Times New Roman" w:hAnsi="Times New Roman"/>
                <w:sz w:val="24"/>
                <w:szCs w:val="24"/>
              </w:rPr>
              <w:t xml:space="preserve">Tablo </w:t>
            </w:r>
            <w:r>
              <w:rPr>
                <w:rFonts w:cs="Times New Roman" w:ascii="Times New Roman" w:hAnsi="Times New Roman"/>
                <w:sz w:val="24"/>
                <w:szCs w:val="24"/>
              </w:rPr>
              <w:t>4</w:t>
            </w:r>
            <w:r>
              <w:rPr>
                <w:rFonts w:cs="Times New Roman" w:ascii="Times New Roman" w:hAnsi="Times New Roman"/>
                <w:sz w:val="24"/>
                <w:szCs w:val="24"/>
              </w:rPr>
              <w:t>: Tabela Tahmini İçin Model Performansları (Is_Top3)</w:t>
            </w:r>
          </w:p>
        </w:tc>
      </w:tr>
      <w:tr>
        <w:trPr/>
        <w:tc>
          <w:tcPr>
            <w:tcW w:w="1807" w:type="dxa"/>
            <w:tcBorders/>
            <w:shd w:fill="CCCCCC" w:val="clear"/>
            <w:vAlign w:val="center"/>
          </w:tcPr>
          <w:p>
            <w:pPr>
              <w:pStyle w:val="TableHeading"/>
              <w:spacing w:before="0" w:after="200"/>
              <w:ind w:hanging="0" w:start="0" w:end="0"/>
              <w:rPr/>
            </w:pPr>
            <w:r>
              <w:rPr/>
              <w:t>Model Algoritması</w:t>
            </w:r>
          </w:p>
        </w:tc>
        <w:tc>
          <w:tcPr>
            <w:tcW w:w="1702" w:type="dxa"/>
            <w:tcBorders/>
            <w:shd w:fill="CCCCCC" w:val="clear"/>
            <w:vAlign w:val="center"/>
          </w:tcPr>
          <w:p>
            <w:pPr>
              <w:pStyle w:val="TableHeading"/>
              <w:spacing w:before="0" w:after="200"/>
              <w:ind w:hanging="0" w:start="0" w:end="0"/>
              <w:rPr/>
            </w:pPr>
            <w:r>
              <w:rPr/>
              <w:t>Eğri Altı Alan (AUC)</w:t>
            </w:r>
          </w:p>
        </w:tc>
        <w:tc>
          <w:tcPr>
            <w:tcW w:w="2606" w:type="dxa"/>
            <w:tcBorders/>
            <w:shd w:fill="CCCCCC" w:val="clear"/>
            <w:vAlign w:val="center"/>
          </w:tcPr>
          <w:p>
            <w:pPr>
              <w:pStyle w:val="TableHeading"/>
              <w:spacing w:before="0" w:after="200"/>
              <w:ind w:hanging="0" w:start="0" w:end="0"/>
              <w:rPr/>
            </w:pPr>
            <w:r>
              <w:rPr/>
              <w:t>Sıra-3 İsabet Doğruluğu (P@1)</w:t>
            </w:r>
          </w:p>
        </w:tc>
        <w:tc>
          <w:tcPr>
            <w:tcW w:w="2957" w:type="dxa"/>
            <w:tcBorders/>
            <w:shd w:fill="CCCCCC" w:val="clear"/>
            <w:vAlign w:val="center"/>
          </w:tcPr>
          <w:p>
            <w:pPr>
              <w:pStyle w:val="TableHeading"/>
              <w:spacing w:before="0" w:after="200"/>
              <w:ind w:hanging="0" w:start="0" w:end="0"/>
              <w:rPr/>
            </w:pPr>
            <w:r>
              <w:rPr/>
              <w:t>Değer Bahsi Stratejik Getirisi (ROI)</w:t>
            </w:r>
          </w:p>
        </w:tc>
      </w:tr>
      <w:tr>
        <w:trPr/>
        <w:tc>
          <w:tcPr>
            <w:tcW w:w="1807" w:type="dxa"/>
            <w:tcBorders/>
            <w:shd w:fill="DDDDDD" w:val="clear"/>
            <w:vAlign w:val="center"/>
          </w:tcPr>
          <w:p>
            <w:pPr>
              <w:pStyle w:val="TableContents"/>
              <w:spacing w:before="0" w:after="200"/>
              <w:ind w:hanging="0" w:start="0" w:end="0"/>
              <w:rPr/>
            </w:pPr>
            <w:r>
              <w:rPr>
                <w:rStyle w:val="Strong"/>
              </w:rPr>
              <w:t>LightGBM</w:t>
            </w:r>
          </w:p>
        </w:tc>
        <w:tc>
          <w:tcPr>
            <w:tcW w:w="1702" w:type="dxa"/>
            <w:tcBorders/>
            <w:vAlign w:val="center"/>
          </w:tcPr>
          <w:p>
            <w:pPr>
              <w:pStyle w:val="TableContents"/>
              <w:spacing w:before="0" w:after="200"/>
              <w:ind w:hanging="0" w:start="0" w:end="0"/>
              <w:rPr/>
            </w:pPr>
            <w:r>
              <w:rPr/>
              <w:t>0.8258</w:t>
            </w:r>
          </w:p>
        </w:tc>
        <w:tc>
          <w:tcPr>
            <w:tcW w:w="2606" w:type="dxa"/>
            <w:tcBorders/>
            <w:vAlign w:val="center"/>
          </w:tcPr>
          <w:p>
            <w:pPr>
              <w:pStyle w:val="TableContents"/>
              <w:spacing w:before="0" w:after="200"/>
              <w:ind w:hanging="0" w:start="0" w:end="0"/>
              <w:rPr/>
            </w:pPr>
            <w:r>
              <w:rPr/>
              <w:t>%73.0</w:t>
            </w:r>
          </w:p>
        </w:tc>
        <w:tc>
          <w:tcPr>
            <w:tcW w:w="2957" w:type="dxa"/>
            <w:tcBorders/>
            <w:vAlign w:val="center"/>
          </w:tcPr>
          <w:p>
            <w:pPr>
              <w:pStyle w:val="TableContents"/>
              <w:spacing w:before="0" w:after="200"/>
              <w:ind w:hanging="0" w:start="0" w:end="0"/>
              <w:rPr/>
            </w:pPr>
            <w:r>
              <w:rPr/>
              <w:t>+%130.0</w:t>
            </w:r>
          </w:p>
        </w:tc>
      </w:tr>
      <w:tr>
        <w:trPr/>
        <w:tc>
          <w:tcPr>
            <w:tcW w:w="1807" w:type="dxa"/>
            <w:tcBorders/>
            <w:shd w:fill="DDDDDD" w:val="clear"/>
            <w:vAlign w:val="center"/>
          </w:tcPr>
          <w:p>
            <w:pPr>
              <w:pStyle w:val="TableContents"/>
              <w:spacing w:before="0" w:after="200"/>
              <w:ind w:hanging="0" w:start="0" w:end="0"/>
              <w:rPr/>
            </w:pPr>
            <w:r>
              <w:rPr>
                <w:rStyle w:val="Strong"/>
              </w:rPr>
              <w:t>XGBoost</w:t>
            </w:r>
          </w:p>
        </w:tc>
        <w:tc>
          <w:tcPr>
            <w:tcW w:w="1702" w:type="dxa"/>
            <w:tcBorders/>
            <w:vAlign w:val="center"/>
          </w:tcPr>
          <w:p>
            <w:pPr>
              <w:pStyle w:val="TableContents"/>
              <w:spacing w:before="0" w:after="200"/>
              <w:ind w:hanging="0" w:start="0" w:end="0"/>
              <w:rPr/>
            </w:pPr>
            <w:r>
              <w:rPr/>
              <w:t>0.8253</w:t>
            </w:r>
          </w:p>
        </w:tc>
        <w:tc>
          <w:tcPr>
            <w:tcW w:w="2606" w:type="dxa"/>
            <w:tcBorders/>
            <w:vAlign w:val="center"/>
          </w:tcPr>
          <w:p>
            <w:pPr>
              <w:pStyle w:val="TableContents"/>
              <w:spacing w:before="0" w:after="200"/>
              <w:ind w:hanging="0" w:start="0" w:end="0"/>
              <w:rPr/>
            </w:pPr>
            <w:r>
              <w:rPr>
                <w:rStyle w:val="Strong"/>
              </w:rPr>
              <w:t>%73.5</w:t>
            </w:r>
          </w:p>
        </w:tc>
        <w:tc>
          <w:tcPr>
            <w:tcW w:w="2957" w:type="dxa"/>
            <w:tcBorders/>
            <w:vAlign w:val="center"/>
          </w:tcPr>
          <w:p>
            <w:pPr>
              <w:pStyle w:val="TableContents"/>
              <w:spacing w:before="0" w:after="200"/>
              <w:ind w:hanging="0" w:start="0" w:end="0"/>
              <w:rPr/>
            </w:pPr>
            <w:r>
              <w:rPr>
                <w:rStyle w:val="Strong"/>
              </w:rPr>
              <w:t>+%137.4</w:t>
            </w:r>
          </w:p>
        </w:tc>
      </w:tr>
      <w:tr>
        <w:trPr/>
        <w:tc>
          <w:tcPr>
            <w:tcW w:w="1807" w:type="dxa"/>
            <w:tcBorders/>
            <w:shd w:fill="DDDDDD" w:val="clear"/>
            <w:vAlign w:val="center"/>
          </w:tcPr>
          <w:p>
            <w:pPr>
              <w:pStyle w:val="TableContents"/>
              <w:spacing w:before="0" w:after="200"/>
              <w:ind w:hanging="0" w:start="0" w:end="0"/>
              <w:rPr/>
            </w:pPr>
            <w:r>
              <w:rPr>
                <w:rStyle w:val="Strong"/>
              </w:rPr>
              <w:t>VotingEnsemble</w:t>
            </w:r>
          </w:p>
        </w:tc>
        <w:tc>
          <w:tcPr>
            <w:tcW w:w="1702" w:type="dxa"/>
            <w:tcBorders/>
            <w:vAlign w:val="center"/>
          </w:tcPr>
          <w:p>
            <w:pPr>
              <w:pStyle w:val="TableContents"/>
              <w:spacing w:before="0" w:after="200"/>
              <w:ind w:hanging="0" w:start="0" w:end="0"/>
              <w:rPr/>
            </w:pPr>
            <w:r>
              <w:rPr/>
              <w:t>0.8228</w:t>
            </w:r>
          </w:p>
        </w:tc>
        <w:tc>
          <w:tcPr>
            <w:tcW w:w="2606" w:type="dxa"/>
            <w:tcBorders/>
            <w:vAlign w:val="center"/>
          </w:tcPr>
          <w:p>
            <w:pPr>
              <w:pStyle w:val="TableContents"/>
              <w:spacing w:before="0" w:after="200"/>
              <w:ind w:hanging="0" w:start="0" w:end="0"/>
              <w:rPr/>
            </w:pPr>
            <w:r>
              <w:rPr/>
              <w:t>%72.8</w:t>
            </w:r>
          </w:p>
        </w:tc>
        <w:tc>
          <w:tcPr>
            <w:tcW w:w="2957" w:type="dxa"/>
            <w:tcBorders/>
            <w:vAlign w:val="center"/>
          </w:tcPr>
          <w:p>
            <w:pPr>
              <w:pStyle w:val="TableContents"/>
              <w:spacing w:before="0" w:after="200"/>
              <w:ind w:hanging="0" w:start="0" w:end="0"/>
              <w:rPr/>
            </w:pPr>
            <w:r>
              <w:rPr/>
              <w:t>+%116.4</w:t>
            </w:r>
          </w:p>
        </w:tc>
      </w:tr>
      <w:tr>
        <w:trPr/>
        <w:tc>
          <w:tcPr>
            <w:tcW w:w="1807" w:type="dxa"/>
            <w:tcBorders/>
            <w:shd w:fill="DDDDDD" w:val="clear"/>
            <w:vAlign w:val="center"/>
          </w:tcPr>
          <w:p>
            <w:pPr>
              <w:pStyle w:val="TableContents"/>
              <w:spacing w:before="0" w:after="200"/>
              <w:ind w:hanging="0" w:start="0" w:end="0"/>
              <w:rPr/>
            </w:pPr>
            <w:r>
              <w:rPr>
                <w:rStyle w:val="Strong"/>
              </w:rPr>
              <w:t>BaggingLGBM</w:t>
            </w:r>
          </w:p>
        </w:tc>
        <w:tc>
          <w:tcPr>
            <w:tcW w:w="1702" w:type="dxa"/>
            <w:tcBorders/>
            <w:vAlign w:val="center"/>
          </w:tcPr>
          <w:p>
            <w:pPr>
              <w:pStyle w:val="TableContents"/>
              <w:spacing w:before="0" w:after="200"/>
              <w:ind w:hanging="0" w:start="0" w:end="0"/>
              <w:rPr/>
            </w:pPr>
            <w:r>
              <w:rPr/>
              <w:t>0.8224</w:t>
            </w:r>
          </w:p>
        </w:tc>
        <w:tc>
          <w:tcPr>
            <w:tcW w:w="2606" w:type="dxa"/>
            <w:tcBorders/>
            <w:vAlign w:val="center"/>
          </w:tcPr>
          <w:p>
            <w:pPr>
              <w:pStyle w:val="TableContents"/>
              <w:spacing w:before="0" w:after="200"/>
              <w:ind w:hanging="0" w:start="0" w:end="0"/>
              <w:rPr/>
            </w:pPr>
            <w:r>
              <w:rPr/>
              <w:t>%73.0</w:t>
            </w:r>
          </w:p>
        </w:tc>
        <w:tc>
          <w:tcPr>
            <w:tcW w:w="2957" w:type="dxa"/>
            <w:tcBorders/>
            <w:vAlign w:val="center"/>
          </w:tcPr>
          <w:p>
            <w:pPr>
              <w:pStyle w:val="TableContents"/>
              <w:spacing w:before="0" w:after="200"/>
              <w:ind w:hanging="0" w:start="0" w:end="0"/>
              <w:rPr/>
            </w:pPr>
            <w:r>
              <w:rPr/>
              <w:t>+%104.3</w:t>
            </w:r>
          </w:p>
        </w:tc>
      </w:tr>
      <w:tr>
        <w:trPr/>
        <w:tc>
          <w:tcPr>
            <w:tcW w:w="1807" w:type="dxa"/>
            <w:tcBorders/>
            <w:shd w:fill="DDDDDD" w:val="clear"/>
            <w:vAlign w:val="center"/>
          </w:tcPr>
          <w:p>
            <w:pPr>
              <w:pStyle w:val="TableContents"/>
              <w:spacing w:before="0" w:after="200"/>
              <w:ind w:hanging="0" w:start="0" w:end="0"/>
              <w:rPr/>
            </w:pPr>
            <w:r>
              <w:rPr>
                <w:rStyle w:val="Strong"/>
              </w:rPr>
              <w:t>CatBoost</w:t>
            </w:r>
          </w:p>
        </w:tc>
        <w:tc>
          <w:tcPr>
            <w:tcW w:w="1702" w:type="dxa"/>
            <w:tcBorders/>
            <w:vAlign w:val="center"/>
          </w:tcPr>
          <w:p>
            <w:pPr>
              <w:pStyle w:val="TableContents"/>
              <w:spacing w:before="0" w:after="200"/>
              <w:ind w:hanging="0" w:start="0" w:end="0"/>
              <w:rPr/>
            </w:pPr>
            <w:r>
              <w:rPr/>
              <w:t>0.8221</w:t>
            </w:r>
          </w:p>
        </w:tc>
        <w:tc>
          <w:tcPr>
            <w:tcW w:w="2606" w:type="dxa"/>
            <w:tcBorders/>
            <w:vAlign w:val="center"/>
          </w:tcPr>
          <w:p>
            <w:pPr>
              <w:pStyle w:val="TableContents"/>
              <w:spacing w:before="0" w:after="200"/>
              <w:ind w:hanging="0" w:start="0" w:end="0"/>
              <w:rPr/>
            </w:pPr>
            <w:r>
              <w:rPr/>
              <w:t>%73.0</w:t>
            </w:r>
          </w:p>
        </w:tc>
        <w:tc>
          <w:tcPr>
            <w:tcW w:w="2957" w:type="dxa"/>
            <w:tcBorders/>
            <w:vAlign w:val="center"/>
          </w:tcPr>
          <w:p>
            <w:pPr>
              <w:pStyle w:val="TableContents"/>
              <w:spacing w:before="0" w:after="200"/>
              <w:ind w:hanging="0" w:start="0" w:end="0"/>
              <w:rPr/>
            </w:pPr>
            <w:r>
              <w:rPr/>
              <w:t>+%117.6</w:t>
            </w:r>
          </w:p>
        </w:tc>
      </w:tr>
      <w:tr>
        <w:trPr/>
        <w:tc>
          <w:tcPr>
            <w:tcW w:w="1807" w:type="dxa"/>
            <w:tcBorders/>
            <w:shd w:fill="DDDDDD" w:val="clear"/>
            <w:vAlign w:val="center"/>
          </w:tcPr>
          <w:p>
            <w:pPr>
              <w:pStyle w:val="TableContents"/>
              <w:spacing w:before="0" w:after="200"/>
              <w:ind w:hanging="0" w:start="0" w:end="0"/>
              <w:rPr/>
            </w:pPr>
            <w:r>
              <w:rPr>
                <w:rStyle w:val="Strong"/>
              </w:rPr>
              <w:t>StackingEnsemble</w:t>
            </w:r>
          </w:p>
        </w:tc>
        <w:tc>
          <w:tcPr>
            <w:tcW w:w="1702" w:type="dxa"/>
            <w:tcBorders/>
            <w:vAlign w:val="center"/>
          </w:tcPr>
          <w:p>
            <w:pPr>
              <w:pStyle w:val="TableContents"/>
              <w:spacing w:before="0" w:after="200"/>
              <w:ind w:hanging="0" w:start="0" w:end="0"/>
              <w:rPr/>
            </w:pPr>
            <w:r>
              <w:rPr/>
              <w:t>0.8217</w:t>
            </w:r>
          </w:p>
        </w:tc>
        <w:tc>
          <w:tcPr>
            <w:tcW w:w="2606" w:type="dxa"/>
            <w:tcBorders/>
            <w:vAlign w:val="center"/>
          </w:tcPr>
          <w:p>
            <w:pPr>
              <w:pStyle w:val="TableContents"/>
              <w:spacing w:before="0" w:after="200"/>
              <w:ind w:hanging="0" w:start="0" w:end="0"/>
              <w:rPr/>
            </w:pPr>
            <w:r>
              <w:rPr/>
              <w:t>%72.4</w:t>
            </w:r>
          </w:p>
        </w:tc>
        <w:tc>
          <w:tcPr>
            <w:tcW w:w="2957" w:type="dxa"/>
            <w:tcBorders/>
            <w:vAlign w:val="center"/>
          </w:tcPr>
          <w:p>
            <w:pPr>
              <w:pStyle w:val="TableContents"/>
              <w:spacing w:before="0" w:after="200"/>
              <w:ind w:hanging="0" w:start="0" w:end="0"/>
              <w:rPr/>
            </w:pPr>
            <w:r>
              <w:rPr/>
              <w:t>+%130.0</w:t>
            </w:r>
          </w:p>
        </w:tc>
      </w:tr>
      <w:tr>
        <w:trPr/>
        <w:tc>
          <w:tcPr>
            <w:tcW w:w="1807" w:type="dxa"/>
            <w:tcBorders/>
            <w:shd w:fill="DDDDDD" w:val="clear"/>
            <w:vAlign w:val="center"/>
          </w:tcPr>
          <w:p>
            <w:pPr>
              <w:pStyle w:val="TableContents"/>
              <w:spacing w:before="0" w:after="200"/>
              <w:ind w:hanging="0" w:start="0" w:end="0"/>
              <w:rPr/>
            </w:pPr>
            <w:r>
              <w:rPr>
                <w:rStyle w:val="Strong"/>
              </w:rPr>
              <w:t>GradientBoosting</w:t>
            </w:r>
          </w:p>
        </w:tc>
        <w:tc>
          <w:tcPr>
            <w:tcW w:w="1702" w:type="dxa"/>
            <w:tcBorders/>
            <w:vAlign w:val="center"/>
          </w:tcPr>
          <w:p>
            <w:pPr>
              <w:pStyle w:val="TableContents"/>
              <w:spacing w:before="0" w:after="200"/>
              <w:ind w:hanging="0" w:start="0" w:end="0"/>
              <w:rPr/>
            </w:pPr>
            <w:r>
              <w:rPr/>
              <w:t>0.8176</w:t>
            </w:r>
          </w:p>
        </w:tc>
        <w:tc>
          <w:tcPr>
            <w:tcW w:w="2606" w:type="dxa"/>
            <w:tcBorders/>
            <w:vAlign w:val="center"/>
          </w:tcPr>
          <w:p>
            <w:pPr>
              <w:pStyle w:val="TableContents"/>
              <w:spacing w:before="0" w:after="200"/>
              <w:ind w:hanging="0" w:start="0" w:end="0"/>
              <w:rPr/>
            </w:pPr>
            <w:r>
              <w:rPr/>
              <w:t>%72.6</w:t>
            </w:r>
          </w:p>
        </w:tc>
        <w:tc>
          <w:tcPr>
            <w:tcW w:w="2957" w:type="dxa"/>
            <w:tcBorders/>
            <w:vAlign w:val="center"/>
          </w:tcPr>
          <w:p>
            <w:pPr>
              <w:pStyle w:val="TableContents"/>
              <w:spacing w:before="0" w:after="200"/>
              <w:ind w:hanging="0" w:start="0" w:end="0"/>
              <w:rPr/>
            </w:pPr>
            <w:r>
              <w:rPr/>
              <w:t>+%126.5</w:t>
            </w:r>
          </w:p>
        </w:tc>
      </w:tr>
      <w:tr>
        <w:trPr/>
        <w:tc>
          <w:tcPr>
            <w:tcW w:w="1807" w:type="dxa"/>
            <w:tcBorders/>
            <w:shd w:fill="DDDDDD" w:val="clear"/>
            <w:vAlign w:val="center"/>
          </w:tcPr>
          <w:p>
            <w:pPr>
              <w:pStyle w:val="TableContents"/>
              <w:spacing w:before="0" w:after="200"/>
              <w:ind w:hanging="0" w:start="0" w:end="0"/>
              <w:rPr/>
            </w:pPr>
            <w:r>
              <w:rPr>
                <w:rStyle w:val="Strong"/>
              </w:rPr>
              <w:t>LogisticRegression</w:t>
            </w:r>
          </w:p>
        </w:tc>
        <w:tc>
          <w:tcPr>
            <w:tcW w:w="1702" w:type="dxa"/>
            <w:tcBorders/>
            <w:vAlign w:val="center"/>
          </w:tcPr>
          <w:p>
            <w:pPr>
              <w:pStyle w:val="TableContents"/>
              <w:spacing w:before="0" w:after="200"/>
              <w:ind w:hanging="0" w:start="0" w:end="0"/>
              <w:rPr/>
            </w:pPr>
            <w:r>
              <w:rPr/>
              <w:t>0.8099</w:t>
            </w:r>
          </w:p>
        </w:tc>
        <w:tc>
          <w:tcPr>
            <w:tcW w:w="2606" w:type="dxa"/>
            <w:tcBorders/>
            <w:vAlign w:val="center"/>
          </w:tcPr>
          <w:p>
            <w:pPr>
              <w:pStyle w:val="TableContents"/>
              <w:spacing w:before="0" w:after="200"/>
              <w:ind w:hanging="0" w:start="0" w:end="0"/>
              <w:rPr/>
            </w:pPr>
            <w:r>
              <w:rPr/>
              <w:t>%71.0</w:t>
            </w:r>
          </w:p>
        </w:tc>
        <w:tc>
          <w:tcPr>
            <w:tcW w:w="2957" w:type="dxa"/>
            <w:tcBorders/>
            <w:vAlign w:val="center"/>
          </w:tcPr>
          <w:p>
            <w:pPr>
              <w:pStyle w:val="TableContents"/>
              <w:spacing w:before="0" w:after="200"/>
              <w:ind w:hanging="0" w:start="0" w:end="0"/>
              <w:rPr/>
            </w:pPr>
            <w:r>
              <w:rPr/>
              <w:t>+%126.3</w:t>
            </w:r>
          </w:p>
        </w:tc>
      </w:tr>
      <w:tr>
        <w:trPr/>
        <w:tc>
          <w:tcPr>
            <w:tcW w:w="1807" w:type="dxa"/>
            <w:tcBorders/>
            <w:shd w:fill="DDDDDD" w:val="clear"/>
            <w:vAlign w:val="center"/>
          </w:tcPr>
          <w:p>
            <w:pPr>
              <w:pStyle w:val="TableContents"/>
              <w:spacing w:before="0" w:after="200"/>
              <w:ind w:hanging="0" w:start="0" w:end="0"/>
              <w:rPr/>
            </w:pPr>
            <w:r>
              <w:rPr>
                <w:rStyle w:val="Strong"/>
              </w:rPr>
              <w:t>RandomForest</w:t>
            </w:r>
          </w:p>
        </w:tc>
        <w:tc>
          <w:tcPr>
            <w:tcW w:w="1702" w:type="dxa"/>
            <w:tcBorders/>
            <w:vAlign w:val="center"/>
          </w:tcPr>
          <w:p>
            <w:pPr>
              <w:pStyle w:val="TableContents"/>
              <w:spacing w:before="0" w:after="200"/>
              <w:ind w:hanging="0" w:start="0" w:end="0"/>
              <w:rPr/>
            </w:pPr>
            <w:r>
              <w:rPr/>
              <w:t>0.8021</w:t>
            </w:r>
          </w:p>
        </w:tc>
        <w:tc>
          <w:tcPr>
            <w:tcW w:w="2606" w:type="dxa"/>
            <w:tcBorders/>
            <w:vAlign w:val="center"/>
          </w:tcPr>
          <w:p>
            <w:pPr>
              <w:pStyle w:val="TableContents"/>
              <w:spacing w:before="0" w:after="200"/>
              <w:ind w:hanging="0" w:start="0" w:end="0"/>
              <w:rPr/>
            </w:pPr>
            <w:r>
              <w:rPr/>
              <w:t>%70.9</w:t>
            </w:r>
          </w:p>
        </w:tc>
        <w:tc>
          <w:tcPr>
            <w:tcW w:w="2957" w:type="dxa"/>
            <w:tcBorders/>
            <w:vAlign w:val="center"/>
          </w:tcPr>
          <w:p>
            <w:pPr>
              <w:pStyle w:val="TableContents"/>
              <w:widowControl w:val="false"/>
              <w:suppressLineNumbers/>
              <w:spacing w:before="0" w:after="200"/>
              <w:rPr/>
            </w:pPr>
            <w:r>
              <w:rPr/>
              <w:t>+%100.8</w:t>
            </w:r>
          </w:p>
        </w:tc>
      </w:tr>
    </w:tbl>
    <w:p>
      <w:pPr>
        <w:pStyle w:val="Normal"/>
        <w:spacing w:lineRule="auto" w:line="240" w:before="240" w:after="240"/>
        <w:jc w:val="center"/>
        <w:rPr>
          <w:rFonts w:ascii="Times New Roman" w:hAnsi="Times New Roman" w:cs="Times New Roman"/>
          <w:sz w:val="18"/>
          <w:szCs w:val="18"/>
        </w:rPr>
      </w:pPr>
      <w:r>
        <w:drawing>
          <wp:anchor behindDoc="0" distT="0" distB="0" distL="0" distR="0" simplePos="0" locked="0" layoutInCell="0" allowOverlap="1" relativeHeight="5">
            <wp:simplePos x="0" y="0"/>
            <wp:positionH relativeFrom="column">
              <wp:posOffset>0</wp:posOffset>
            </wp:positionH>
            <wp:positionV relativeFrom="paragraph">
              <wp:posOffset>111760</wp:posOffset>
            </wp:positionV>
            <wp:extent cx="5760720" cy="192849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6"/>
                    <a:srcRect l="0" t="5464" r="0" b="31"/>
                    <a:stretch>
                      <a:fillRect/>
                    </a:stretch>
                  </pic:blipFill>
                  <pic:spPr bwMode="auto">
                    <a:xfrm>
                      <a:off x="0" y="0"/>
                      <a:ext cx="5760720" cy="1928495"/>
                    </a:xfrm>
                    <a:prstGeom prst="rect">
                      <a:avLst/>
                    </a:prstGeom>
                    <a:noFill/>
                  </pic:spPr>
                </pic:pic>
              </a:graphicData>
            </a:graphic>
          </wp:anchor>
        </w:drawing>
      </w:r>
      <w:r>
        <w:rPr>
          <w:rFonts w:cs="Times New Roman" w:ascii="Times New Roman" w:hAnsi="Times New Roman"/>
          <w:sz w:val="18"/>
          <w:szCs w:val="18"/>
        </w:rPr>
        <w:t>Şekil 2: Tabela (Is_Top3) tahmini modellerinin performans karşılaştırma grafikleri</w:t>
      </w:r>
    </w:p>
    <w:p>
      <w:pPr>
        <w:pStyle w:val="ListParagraph"/>
        <w:numPr>
          <w:ilvl w:val="1"/>
          <w:numId w:val="2"/>
        </w:numPr>
        <w:spacing w:lineRule="auto" w:line="240" w:before="240" w:after="240"/>
        <w:contextualSpacing w:val="false"/>
        <w:jc w:val="both"/>
        <w:rPr>
          <w:rFonts w:ascii="Times New Roman" w:hAnsi="Times New Roman" w:cs="Times New Roman"/>
          <w:b/>
          <w:sz w:val="24"/>
          <w:szCs w:val="24"/>
        </w:rPr>
      </w:pPr>
      <w:r>
        <w:rPr>
          <w:rFonts w:cs="Times New Roman" w:ascii="Times New Roman" w:hAnsi="Times New Roman"/>
          <w:b/>
          <w:sz w:val="24"/>
          <w:szCs w:val="24"/>
        </w:rPr>
        <w:t>Özellik Önemi (Feature Importance) ve Değişkenlerin Rolü</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t>Ağaç bazlı algoritmaların ayırt etme metrikleri (Native Gain ve SHAP analizi) incelendiğinde; atın bağımsız saf handikap puanından öte "Rakiplerine Olan Göreceli Puanı" v</w:t>
      </w:r>
      <w:r>
        <w:rPr>
          <w:rFonts w:cs="Times New Roman" w:ascii="Times New Roman" w:hAnsi="Times New Roman"/>
          <w:sz w:val="24"/>
          <w:szCs w:val="24"/>
        </w:rPr>
        <w:t xml:space="preserve">e </w:t>
      </w:r>
      <w:r>
        <w:rPr>
          <w:rFonts w:cs="Times New Roman" w:ascii="Times New Roman" w:hAnsi="Times New Roman"/>
          <w:sz w:val="24"/>
          <w:szCs w:val="24"/>
        </w:rPr>
        <w:t xml:space="preserve">"Görece Sıkleti" ilk iki sırayı paylaşmıştır. Ayrıca veterinerlik sahasına dair bir performans izleyici olan </w:t>
      </w:r>
      <w:r>
        <w:rPr>
          <w:rFonts w:cs="Times New Roman" w:ascii="Times New Roman" w:hAnsi="Times New Roman"/>
          <w:b/>
          <w:bCs/>
          <w:sz w:val="24"/>
          <w:szCs w:val="24"/>
        </w:rPr>
        <w:t>A</w:t>
      </w:r>
      <w:r>
        <w:rPr>
          <w:rFonts w:cs="Times New Roman" w:ascii="Times New Roman" w:hAnsi="Times New Roman"/>
          <w:b/>
          <w:bCs/>
          <w:sz w:val="24"/>
          <w:szCs w:val="24"/>
        </w:rPr>
        <w:t>tın Son 400 Metre Sprint İdman Derecesi</w:t>
      </w:r>
      <w:r>
        <w:rPr>
          <w:rFonts w:cs="Times New Roman" w:ascii="Times New Roman" w:hAnsi="Times New Roman"/>
          <w:sz w:val="24"/>
          <w:szCs w:val="24"/>
        </w:rPr>
        <w:t>, her iki tahmin modelinde de ilk 10 özellik arasına net olarak girmiş ve isabet oranında kırılım yaratıldığını kanıtlamıştır.</w:t>
      </w:r>
    </w:p>
    <w:p>
      <w:pPr>
        <w:pStyle w:val="Normal"/>
        <w:spacing w:lineRule="auto" w:line="240" w:before="240" w:after="24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
        </w:numPr>
        <w:spacing w:lineRule="auto" w:line="240" w:before="240" w:after="240"/>
        <w:contextualSpacing w:val="false"/>
        <w:jc w:val="both"/>
        <w:rPr>
          <w:rFonts w:ascii="Times New Roman" w:hAnsi="Times New Roman" w:cs="Times New Roman"/>
          <w:b/>
          <w:sz w:val="24"/>
          <w:szCs w:val="24"/>
        </w:rPr>
      </w:pPr>
      <w:r>
        <w:rPr>
          <w:rFonts w:cs="Times New Roman" w:ascii="Times New Roman" w:hAnsi="Times New Roman"/>
          <w:b/>
          <w:sz w:val="24"/>
          <w:szCs w:val="24"/>
        </w:rPr>
        <w:t>SONUÇ VE ÖNERİLER</w:t>
      </w:r>
    </w:p>
    <w:p>
      <w:pPr>
        <w:pStyle w:val="Normal"/>
        <w:spacing w:lineRule="auto" w:line="240" w:before="240" w:after="240"/>
        <w:jc w:val="both"/>
        <w:rPr>
          <w:rFonts w:ascii="Times New Roman" w:hAnsi="Times New Roman" w:cs="Times New Roman"/>
          <w:sz w:val="24"/>
          <w:szCs w:val="24"/>
          <w:lang w:bidi="tr-TR"/>
        </w:rPr>
      </w:pPr>
      <w:r>
        <w:rPr>
          <w:rFonts w:cs="Times New Roman" w:ascii="Times New Roman" w:hAnsi="Times New Roman"/>
          <w:sz w:val="24"/>
          <w:szCs w:val="24"/>
          <w:lang w:bidi="tr-TR"/>
        </w:rPr>
        <w:t xml:space="preserve">Bu çalışmada at performanslarının tespiti amacıyla kullanılan makine öğrenmesi teknoloji-lerinin, hipodrom istatistiklerine uyarlandığında geleneksel el yordamı yöntemlerin ticarî ve tahmin matematiği bakımından oldukça çarpıcı avantajlara evrilebileceği kanıtlanmıştır. Ganyan analizindeki standart metodoloji %34.3’lerde kalırken ensemble </w:t>
      </w:r>
      <w:r>
        <w:rPr>
          <w:rFonts w:cs="Times New Roman" w:ascii="Times New Roman" w:hAnsi="Times New Roman"/>
          <w:sz w:val="24"/>
          <w:szCs w:val="24"/>
          <w:lang w:bidi="tr-TR"/>
        </w:rPr>
        <w:t>m</w:t>
      </w:r>
      <w:r>
        <w:rPr>
          <w:rFonts w:cs="Times New Roman" w:ascii="Times New Roman" w:hAnsi="Times New Roman"/>
          <w:sz w:val="24"/>
          <w:szCs w:val="24"/>
          <w:lang w:bidi="tr-TR"/>
        </w:rPr>
        <w:t xml:space="preserve">imarisinin %42.9’luk P@1 sıçraması, ML yöntemlerinin veteriner sahasındaki performansı tahmine dayalı karar destek sistemlerine ve at etiği eksenli performans ölçümlerine fayda sağlayacağını netleştirmiştir </w:t>
      </w:r>
    </w:p>
    <w:p>
      <w:pPr>
        <w:pStyle w:val="Normal"/>
        <w:spacing w:lineRule="auto" w:line="240" w:before="240" w:after="240"/>
        <w:jc w:val="both"/>
        <w:rPr>
          <w:rFonts w:ascii="Times New Roman" w:hAnsi="Times New Roman" w:cs="Times New Roman"/>
          <w:sz w:val="24"/>
          <w:szCs w:val="24"/>
          <w:lang w:bidi="tr-TR"/>
        </w:rPr>
      </w:pPr>
      <w:r>
        <w:rPr>
          <w:rFonts w:cs="Times New Roman" w:ascii="Times New Roman" w:hAnsi="Times New Roman"/>
          <w:sz w:val="24"/>
          <w:szCs w:val="24"/>
          <w:lang w:bidi="tr-TR"/>
        </w:rPr>
      </w:r>
    </w:p>
    <w:p>
      <w:pPr>
        <w:pStyle w:val="BodyText"/>
        <w:spacing w:before="240" w:after="240"/>
        <w:jc w:val="both"/>
        <w:rPr>
          <w:b/>
        </w:rPr>
      </w:pPr>
      <w:r>
        <w:rPr>
          <w:b/>
        </w:rPr>
        <w:t xml:space="preserve">Teşekkür </w:t>
      </w:r>
    </w:p>
    <w:p>
      <w:pPr>
        <w:pStyle w:val="BodyText"/>
        <w:spacing w:before="240" w:after="240"/>
        <w:jc w:val="both"/>
        <w:rPr/>
      </w:pPr>
      <w:r>
        <w:rPr/>
        <w:t>Projenin gerçekleştirilmesinde veri alt yapısını sunan ve akademik değerlendirme teşviklerinde bulunan bilim heyetine ile TJK’nın veri tabanlarına teşekkür ederiz</w:t>
      </w:r>
    </w:p>
    <w:p>
      <w:pPr>
        <w:pStyle w:val="BodyText"/>
        <w:spacing w:before="240" w:after="240"/>
        <w:jc w:val="both"/>
        <w:rPr>
          <w:b/>
        </w:rPr>
      </w:pPr>
      <w:r>
        <w:rPr/>
      </w:r>
    </w:p>
    <w:p>
      <w:pPr>
        <w:pStyle w:val="BodyText"/>
        <w:spacing w:before="240" w:after="240"/>
        <w:jc w:val="both"/>
        <w:rPr>
          <w:b/>
        </w:rPr>
      </w:pPr>
      <w:r>
        <w:rPr>
          <w:b/>
        </w:rPr>
        <w:t xml:space="preserve">KAYNAKLAR </w:t>
      </w:r>
      <w:r>
        <w:rPr>
          <w:b/>
        </w:rPr>
        <w:t>(APA)</w:t>
      </w:r>
    </w:p>
    <w:p>
      <w:pPr>
        <w:pStyle w:val="Normal"/>
        <w:spacing w:lineRule="auto" w:line="240" w:before="240" w:after="240"/>
        <w:ind w:hanging="284" w:start="284"/>
        <w:jc w:val="both"/>
        <w:rPr/>
      </w:pPr>
      <w:r>
        <w:rPr>
          <w:rFonts w:cs="Times New Roman" w:ascii="Times New Roman" w:hAnsi="Times New Roman"/>
          <w:sz w:val="24"/>
          <w:szCs w:val="24"/>
        </w:rPr>
        <w:t>[1] Cihan, P. (2024). Horse Surgery and Survival Prediction with Artificial Intelligence Models: Performance Comparison of Original, Imputed, Balanced, and Feature-Selected Datasets. </w:t>
      </w:r>
      <w:r>
        <w:rPr>
          <w:rStyle w:val="Emphasis"/>
          <w:rFonts w:cs="Times New Roman" w:ascii="Times New Roman" w:hAnsi="Times New Roman"/>
          <w:sz w:val="24"/>
          <w:szCs w:val="24"/>
        </w:rPr>
        <w:t>Kafkas Üniversitesi Veteriner Fakültesi Dergisi</w:t>
      </w:r>
      <w:r>
        <w:rPr>
          <w:rFonts w:cs="Times New Roman" w:ascii="Times New Roman" w:hAnsi="Times New Roman"/>
          <w:sz w:val="24"/>
          <w:szCs w:val="24"/>
        </w:rPr>
        <w:t>, 30(2), 233-241.</w:t>
      </w:r>
    </w:p>
    <w:p>
      <w:pPr>
        <w:pStyle w:val="Normal"/>
        <w:spacing w:lineRule="auto" w:line="240" w:before="240" w:after="240"/>
        <w:ind w:hanging="284" w:start="284"/>
        <w:jc w:val="both"/>
        <w:rPr/>
      </w:pPr>
      <w:r>
        <w:rPr>
          <w:rFonts w:cs="Times New Roman" w:ascii="Times New Roman" w:hAnsi="Times New Roman"/>
          <w:sz w:val="24"/>
          <w:szCs w:val="24"/>
        </w:rPr>
        <w:t>[2] Gupta, M., &amp; Singh, L. (2024). Horse Race Results Prediction Using Machine Learning Algorithms With Feature Selection. </w:t>
      </w:r>
      <w:r>
        <w:rPr>
          <w:rStyle w:val="Emphasis"/>
          <w:rFonts w:cs="Times New Roman" w:ascii="Times New Roman" w:hAnsi="Times New Roman"/>
          <w:sz w:val="24"/>
          <w:szCs w:val="24"/>
        </w:rPr>
        <w:t>International Journal of Intelligent Systems and Applications in Engineering</w:t>
      </w:r>
      <w:r>
        <w:rPr>
          <w:rFonts w:cs="Times New Roman" w:ascii="Times New Roman" w:hAnsi="Times New Roman"/>
          <w:sz w:val="24"/>
          <w:szCs w:val="24"/>
        </w:rPr>
        <w:t>, 12(2s), 132-139.</w:t>
      </w:r>
    </w:p>
    <w:p>
      <w:pPr>
        <w:pStyle w:val="Normal"/>
        <w:spacing w:lineRule="auto" w:line="240" w:before="240" w:after="240"/>
        <w:ind w:hanging="284" w:start="284"/>
        <w:jc w:val="both"/>
        <w:rPr/>
      </w:pPr>
      <w:r>
        <w:rPr>
          <w:rFonts w:cs="Times New Roman" w:ascii="Times New Roman" w:hAnsi="Times New Roman"/>
          <w:sz w:val="24"/>
          <w:szCs w:val="24"/>
        </w:rPr>
        <w:t>[3] Higgins, M. (2018). The Gambler Who Cracked the Horse-Racing Code. </w:t>
      </w:r>
      <w:r>
        <w:rPr>
          <w:rStyle w:val="Emphasis"/>
          <w:rFonts w:cs="Times New Roman" w:ascii="Times New Roman" w:hAnsi="Times New Roman"/>
          <w:sz w:val="24"/>
          <w:szCs w:val="24"/>
        </w:rPr>
        <w:t>Bloomberg Businessweek</w:t>
      </w:r>
      <w:r>
        <w:rPr>
          <w:rFonts w:cs="Times New Roman" w:ascii="Times New Roman" w:hAnsi="Times New Roman"/>
          <w:sz w:val="24"/>
          <w:szCs w:val="24"/>
        </w:rPr>
        <w:t>.</w:t>
      </w:r>
    </w:p>
    <w:p>
      <w:pPr>
        <w:pStyle w:val="Normal"/>
        <w:spacing w:lineRule="auto" w:line="240" w:before="240" w:after="240"/>
        <w:ind w:hanging="284" w:start="284"/>
        <w:jc w:val="both"/>
        <w:rPr/>
      </w:pPr>
      <w:r>
        <w:rPr>
          <w:rFonts w:cs="Times New Roman" w:ascii="Times New Roman" w:hAnsi="Times New Roman"/>
          <w:sz w:val="24"/>
          <w:szCs w:val="24"/>
        </w:rPr>
        <w:t>[4] Oda, D., &amp; Onogi, A. (2024). Assessing the predictability of racing performance of Thoroughbreds using mixed-effects model. </w:t>
      </w:r>
      <w:r>
        <w:rPr>
          <w:rStyle w:val="Emphasis"/>
          <w:rFonts w:cs="Times New Roman" w:ascii="Times New Roman" w:hAnsi="Times New Roman"/>
          <w:sz w:val="24"/>
          <w:szCs w:val="24"/>
        </w:rPr>
        <w:t>Journal of Animal Breeding and Genetics</w:t>
      </w:r>
      <w:r>
        <w:rPr>
          <w:rFonts w:cs="Times New Roman" w:ascii="Times New Roman" w:hAnsi="Times New Roman"/>
          <w:sz w:val="24"/>
          <w:szCs w:val="24"/>
        </w:rPr>
        <w:t>, 141(1), 24-32.</w:t>
      </w:r>
    </w:p>
    <w:p>
      <w:pPr>
        <w:pStyle w:val="Normal"/>
        <w:spacing w:lineRule="auto" w:line="240" w:before="240" w:after="240"/>
        <w:ind w:hanging="284" w:start="284"/>
        <w:jc w:val="both"/>
        <w:rPr/>
      </w:pPr>
      <w:r>
        <w:rPr>
          <w:rFonts w:cs="Times New Roman" w:ascii="Times New Roman" w:hAnsi="Times New Roman"/>
          <w:sz w:val="24"/>
          <w:szCs w:val="24"/>
        </w:rPr>
        <w:t>[5] Obi, O. C., et al. (2024). Data science in sports analytics: A review of performance optimization and fan engagement. </w:t>
      </w:r>
      <w:r>
        <w:rPr>
          <w:rStyle w:val="Emphasis"/>
          <w:rFonts w:cs="Times New Roman" w:ascii="Times New Roman" w:hAnsi="Times New Roman"/>
          <w:sz w:val="24"/>
          <w:szCs w:val="24"/>
        </w:rPr>
        <w:t>Journal of Artificial Intelligence and Data Science Techniques</w:t>
      </w:r>
      <w:r>
        <w:rPr>
          <w:rFonts w:cs="Times New Roman" w:ascii="Times New Roman" w:hAnsi="Times New Roman"/>
          <w:sz w:val="24"/>
          <w:szCs w:val="24"/>
        </w:rPr>
        <w:t>, 1(2).</w:t>
      </w:r>
    </w:p>
    <w:p>
      <w:pPr>
        <w:pStyle w:val="Normal"/>
        <w:spacing w:lineRule="auto" w:line="240" w:before="240" w:after="240"/>
        <w:ind w:hanging="284" w:start="284"/>
        <w:jc w:val="both"/>
        <w:rPr/>
      </w:pPr>
      <w:r>
        <w:rPr>
          <w:rFonts w:cs="Times New Roman" w:ascii="Times New Roman" w:hAnsi="Times New Roman"/>
          <w:sz w:val="24"/>
          <w:szCs w:val="24"/>
        </w:rPr>
        <w:t>[6] Tondapu, N. (2024). Efficient Market Dynamics: Unraveling Informational Efficiency in UK Horse Racing Betting Markets Through Betfair's Time Series Analysis. </w:t>
      </w:r>
      <w:r>
        <w:rPr>
          <w:rStyle w:val="Emphasis"/>
          <w:rFonts w:cs="Times New Roman" w:ascii="Times New Roman" w:hAnsi="Times New Roman"/>
          <w:sz w:val="24"/>
          <w:szCs w:val="24"/>
        </w:rPr>
        <w:t>arXiv preprint arXiv:2402.02623</w:t>
      </w:r>
      <w:r>
        <w:rPr>
          <w:rFonts w:cs="Times New Roman" w:ascii="Times New Roman" w:hAnsi="Times New Roman"/>
          <w:sz w:val="24"/>
          <w:szCs w:val="24"/>
        </w:rPr>
        <w:t>.</w:t>
      </w:r>
    </w:p>
    <w:p>
      <w:pPr>
        <w:pStyle w:val="Normal"/>
        <w:spacing w:lineRule="auto" w:line="240" w:before="240" w:after="240"/>
        <w:ind w:hanging="284" w:start="284"/>
        <w:jc w:val="both"/>
        <w:rPr/>
      </w:pPr>
      <w:r>
        <w:rPr>
          <w:rFonts w:cs="Times New Roman" w:ascii="Times New Roman" w:hAnsi="Times New Roman"/>
          <w:sz w:val="24"/>
          <w:szCs w:val="24"/>
        </w:rPr>
        <w:t>[7] Chen, T., &amp; Guestrin, C. (2016). XGBoost: A Scalable Tree Boosting System. </w:t>
      </w:r>
      <w:r>
        <w:rPr>
          <w:rStyle w:val="Emphasis"/>
          <w:rFonts w:cs="Times New Roman" w:ascii="Times New Roman" w:hAnsi="Times New Roman"/>
          <w:sz w:val="24"/>
          <w:szCs w:val="24"/>
        </w:rPr>
        <w:t>Proceedings of the 22nd ACM SIGKDD International Conference on Knowledge Discovery and Data Mining</w:t>
      </w:r>
      <w:r>
        <w:rPr>
          <w:rFonts w:cs="Times New Roman" w:ascii="Times New Roman" w:hAnsi="Times New Roman"/>
          <w:sz w:val="24"/>
          <w:szCs w:val="24"/>
        </w:rPr>
        <w:t> (pp. 785-794).</w:t>
      </w:r>
    </w:p>
    <w:p>
      <w:pPr>
        <w:pStyle w:val="Normal"/>
        <w:spacing w:lineRule="auto" w:line="240" w:before="240" w:after="240"/>
        <w:ind w:hanging="284" w:start="284"/>
        <w:jc w:val="both"/>
        <w:rPr/>
      </w:pPr>
      <w:r>
        <w:rPr>
          <w:rFonts w:cs="Times New Roman" w:ascii="Times New Roman" w:hAnsi="Times New Roman"/>
          <w:sz w:val="24"/>
          <w:szCs w:val="24"/>
        </w:rPr>
        <w:t>[8] Ke, G., Meng, Q., Finley, T., Wang, T., Chen, W., Ma, W., ... &amp; Liu, T. Y. (2017). LightGBM: A highly efficient gradient boosting decision tree. </w:t>
      </w:r>
      <w:r>
        <w:rPr>
          <w:rStyle w:val="Emphasis"/>
          <w:rFonts w:cs="Times New Roman" w:ascii="Times New Roman" w:hAnsi="Times New Roman"/>
          <w:sz w:val="24"/>
          <w:szCs w:val="24"/>
        </w:rPr>
        <w:t>Advances in Neural Information Processing Systems</w:t>
      </w:r>
      <w:r>
        <w:rPr>
          <w:rFonts w:cs="Times New Roman" w:ascii="Times New Roman" w:hAnsi="Times New Roman"/>
          <w:sz w:val="24"/>
          <w:szCs w:val="24"/>
        </w:rPr>
        <w:t>, 30.</w:t>
      </w:r>
    </w:p>
    <w:p>
      <w:pPr>
        <w:pStyle w:val="Normal"/>
        <w:spacing w:lineRule="auto" w:line="240" w:before="240" w:after="240"/>
        <w:ind w:hanging="284" w:start="284"/>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240" w:after="240"/>
        <w:jc w:val="both"/>
        <w:rPr>
          <w:rFonts w:ascii="Times New Roman" w:hAnsi="Times New Roman" w:cs="Times New Roman"/>
          <w:b/>
          <w:sz w:val="24"/>
          <w:szCs w:val="24"/>
        </w:rPr>
      </w:pPr>
      <w:r>
        <w:rPr/>
      </w:r>
    </w:p>
    <w:p>
      <w:pPr>
        <w:pStyle w:val="Normal"/>
        <w:spacing w:lineRule="auto" w:line="360" w:before="240" w:after="240"/>
        <w:rPr>
          <w:rFonts w:ascii="Times New Roman" w:hAnsi="Times New Roman"/>
          <w:b/>
          <w:color w:val="000000"/>
          <w:sz w:val="24"/>
          <w:szCs w:val="24"/>
        </w:rPr>
      </w:pPr>
      <w:r>
        <w:rPr>
          <w:rFonts w:ascii="Times New Roman" w:hAnsi="Times New Roman"/>
          <w:b/>
          <w:color w:val="000000"/>
          <w:sz w:val="24"/>
          <w:szCs w:val="24"/>
        </w:rPr>
      </w:r>
    </w:p>
    <w:p>
      <w:pPr>
        <w:pStyle w:val="Normal"/>
        <w:spacing w:lineRule="auto" w:line="360" w:before="240" w:after="240"/>
        <w:contextualSpacing/>
        <w:jc w:val="center"/>
        <w:rPr>
          <w:rFonts w:ascii="Times New Roman" w:hAnsi="Times New Roman"/>
          <w:bCs/>
          <w:sz w:val="24"/>
          <w:szCs w:val="24"/>
        </w:rPr>
      </w:pPr>
      <w:r>
        <w:rPr>
          <w:rFonts w:ascii="Times New Roman" w:hAnsi="Times New Roman"/>
          <w:bCs/>
          <w:sz w:val="24"/>
          <w:szCs w:val="24"/>
        </w:rPr>
      </w:r>
    </w:p>
    <w:p>
      <w:pPr>
        <w:pStyle w:val="Normal"/>
        <w:spacing w:lineRule="auto" w:line="360" w:before="240" w:after="240"/>
        <w:contextualSpacing/>
        <w:jc w:val="center"/>
        <w:rPr>
          <w:rFonts w:ascii="Times New Roman" w:hAnsi="Times New Roman"/>
          <w:bCs/>
          <w:sz w:val="24"/>
          <w:szCs w:val="24"/>
        </w:rPr>
      </w:pPr>
      <w:r>
        <w:rPr>
          <w:rFonts w:ascii="Times New Roman" w:hAnsi="Times New Roman"/>
          <w:bCs/>
          <w:sz w:val="24"/>
          <w:szCs w:val="24"/>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7" w:right="1417"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85042455"/>
    </w:sdtPr>
    <w:sdtContent>
      <w:p>
        <w:pPr>
          <w:pStyle w:val="Footer"/>
          <w:jc w:val="center"/>
          <w:rPr/>
        </w:pPr>
        <w:r>
          <w:rPr/>
          <w:fldChar w:fldCharType="begin"/>
        </w:r>
        <w:r>
          <w:rPr/>
          <w:instrText xml:space="preserve"> PAGE </w:instrText>
        </w:r>
        <w:r>
          <w:rPr/>
          <w:fldChar w:fldCharType="separate"/>
        </w:r>
        <w:r>
          <w:rPr/>
          <w:t>8</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788528"/>
    </w:sdtPr>
    <w:sdtContent>
      <w:p>
        <w:pPr>
          <w:pStyle w:val="Footer"/>
          <w:jc w:val="both"/>
          <w:rPr>
            <w:rFonts w:ascii="Times New Roman" w:hAnsi="Times New Roman" w:cs="Times New Roman"/>
            <w:sz w:val="18"/>
            <w:szCs w:val="18"/>
          </w:rPr>
        </w:pPr>
        <w:r>
          <w:rPr>
            <w:rFonts w:cs="Times New Roman" w:ascii="Times New Roman" w:hAnsi="Times New Roman"/>
            <w:sz w:val="18"/>
            <w:szCs w:val="18"/>
          </w:rPr>
        </w:r>
      </w:p>
      <w:p>
        <w:pPr>
          <w:pStyle w:val="Footer"/>
          <w:jc w:val="both"/>
          <w:rPr/>
        </w:pPr>
        <w:r>
          <w:rPr/>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240" w:after="240"/>
      <w:jc w:val="both"/>
      <w:rPr>
        <w:rFonts w:ascii="Times New Roman" w:hAnsi="Times New Roman"/>
        <w:color w:val="000000"/>
        <w:sz w:val="18"/>
        <w:szCs w:val="18"/>
      </w:rPr>
    </w:pPr>
    <w:r>
      <w:rPr>
        <w:rFonts w:ascii="Times New Roman" w:hAnsi="Times New Roman"/>
        <w:color w:val="000000"/>
        <w:sz w:val="18"/>
        <w:szCs w:val="18"/>
      </w:rPr>
      <w:t>A</w:t>
    </w:r>
    <w:r>
      <w:rPr>
        <w:rFonts w:ascii="Times New Roman" w:hAnsi="Times New Roman"/>
        <w:color w:val="000000"/>
        <w:sz w:val="18"/>
        <w:szCs w:val="18"/>
      </w:rPr>
      <w:t>ibatyr AMANZHOLOV</w:t>
    </w:r>
    <w:r>
      <w:rPr>
        <w:rFonts w:ascii="Times New Roman" w:hAnsi="Times New Roman"/>
        <w:color w:val="000000"/>
        <w:sz w:val="18"/>
        <w:szCs w:val="18"/>
        <w:vertAlign w:val="superscript"/>
      </w:rPr>
      <w:t>*</w:t>
    </w:r>
    <w:r>
      <w:rPr>
        <w:rFonts w:ascii="Times New Roman" w:hAnsi="Times New Roman"/>
        <w:color w:val="000000"/>
        <w:sz w:val="18"/>
        <w:szCs w:val="18"/>
      </w:rPr>
      <w:t xml:space="preserve">, </w:t>
    </w:r>
    <w:r>
      <w:rPr>
        <w:rFonts w:ascii="Times New Roman" w:hAnsi="Times New Roman"/>
        <w:color w:val="000000"/>
        <w:sz w:val="18"/>
        <w:szCs w:val="18"/>
      </w:rPr>
      <w:t>Pı</w:t>
    </w:r>
    <w:r>
      <w:rPr>
        <w:rFonts w:ascii="Times New Roman" w:hAnsi="Times New Roman"/>
        <w:color w:val="000000"/>
        <w:sz w:val="18"/>
        <w:szCs w:val="18"/>
      </w:rPr>
      <w:t>nar CİHAN</w:t>
    </w:r>
    <w:r>
      <w:rPr>
        <w:rFonts w:ascii="Times New Roman" w:hAnsi="Times New Roman"/>
        <w:color w:val="000000"/>
        <w:sz w:val="18"/>
        <w:szCs w:val="18"/>
        <w:vertAlign w:val="superscript"/>
      </w:rPr>
      <w:t xml:space="preserve">**                                                                </w:t>
      <w:tab/>
      <w:tab/>
      <w:tab/>
    </w:r>
    <w:r>
      <w:rPr>
        <w:rFonts w:ascii="Times New Roman" w:hAnsi="Times New Roman"/>
        <w:color w:val="000000"/>
        <w:sz w:val="18"/>
        <w:szCs w:val="18"/>
      </w:rPr>
      <w:t xml:space="preserve">         TNKÜ FBE: 1-</w:t>
    </w:r>
    <w:r>
      <w:rPr>
        <w:rFonts w:ascii="Times New Roman" w:hAnsi="Times New Roman"/>
        <w:color w:val="000000"/>
        <w:sz w:val="18"/>
        <w:szCs w:val="18"/>
      </w:rPr>
      <w:t>8</w:t>
    </w:r>
    <w:r>
      <w:rPr>
        <w:rFonts w:ascii="Times New Roman" w:hAnsi="Times New Roman"/>
        <w:color w:val="000000"/>
        <w:sz w:val="18"/>
        <w:szCs w:val="18"/>
      </w:rPr>
      <w:t xml:space="preserve"> (202</w:t>
    </w:r>
    <w:r>
      <w:rPr>
        <w:rFonts w:ascii="Times New Roman" w:hAnsi="Times New Roman"/>
        <w:color w:val="000000"/>
        <w:sz w:val="18"/>
        <w:szCs w:val="18"/>
      </w:rPr>
      <w:t>6</w:t>
    </w:r>
    <w:r>
      <w:rPr>
        <w:rFonts w:ascii="Times New Roman" w:hAnsi="Times New Roman"/>
        <w:color w:val="000000"/>
        <w:sz w:val="18"/>
        <w:szCs w:val="18"/>
      </w:rPr>
      <w:t xml:space="preserve">)                                  </w:t>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240" w:after="240"/>
      <w:contextualSpacing/>
      <w:rPr>
        <w:rFonts w:ascii="Times New Roman" w:hAnsi="Times New Roman"/>
        <w:color w:val="000000"/>
        <w:sz w:val="18"/>
        <w:szCs w:val="18"/>
      </w:rPr>
    </w:pPr>
    <w:r>
      <w:rPr>
        <w:rFonts w:ascii="Times New Roman" w:hAnsi="Times New Roman"/>
        <w:color w:val="000000"/>
        <w:sz w:val="18"/>
        <w:szCs w:val="18"/>
      </w:rPr>
    </w:r>
  </w:p>
  <w:tbl>
    <w:tblPr>
      <w:tblStyle w:val="TabloKlavuzu"/>
      <w:tblW w:w="9072" w:type="dxa"/>
      <w:jc w:val="start"/>
      <w:tblInd w:w="0" w:type="dxa"/>
      <w:tblLayout w:type="fixed"/>
      <w:tblCellMar>
        <w:top w:w="0" w:type="dxa"/>
        <w:start w:w="108" w:type="dxa"/>
        <w:bottom w:w="0" w:type="dxa"/>
        <w:end w:w="108" w:type="dxa"/>
      </w:tblCellMar>
      <w:tblLook w:val="04a0" w:noVBand="1" w:noHBand="0" w:lastColumn="0" w:firstColumn="1" w:lastRow="0" w:firstRow="1"/>
    </w:tblPr>
    <w:tblGrid>
      <w:gridCol w:w="3021"/>
      <w:gridCol w:w="3020"/>
      <w:gridCol w:w="3031"/>
    </w:tblGrid>
    <w:tr>
      <w:trPr/>
      <w:tc>
        <w:tcPr>
          <w:tcW w:w="3021" w:type="dxa"/>
          <w:tcBorders>
            <w:top w:val="nil"/>
            <w:start w:val="nil"/>
            <w:bottom w:val="nil"/>
            <w:end w:val="nil"/>
          </w:tcBorders>
        </w:tcPr>
        <w:p>
          <w:pPr>
            <w:pStyle w:val="Normal"/>
            <w:widowControl/>
            <w:spacing w:lineRule="auto" w:line="240" w:before="240" w:after="240"/>
            <w:contextualSpacing/>
            <w:jc w:val="start"/>
            <w:rPr>
              <w:rFonts w:ascii="Times New Roman" w:hAnsi="Times New Roman"/>
              <w:sz w:val="18"/>
              <w:szCs w:val="18"/>
            </w:rPr>
          </w:pPr>
          <w:r>
            <w:rPr>
              <w:rFonts w:eastAsia="Calibri" w:cs="" w:ascii="Times New Roman" w:hAnsi="Times New Roman"/>
              <w:kern w:val="0"/>
              <w:sz w:val="18"/>
              <w:szCs w:val="18"/>
              <w:lang w:val="tr-TR" w:eastAsia="en-US" w:bidi="ar-SA"/>
            </w:rPr>
            <w:t>Lisans Tez Makalesi</w:t>
          </w:r>
        </w:p>
      </w:tc>
      <w:tc>
        <w:tcPr>
          <w:tcW w:w="3020" w:type="dxa"/>
          <w:tcBorders>
            <w:top w:val="nil"/>
            <w:start w:val="nil"/>
            <w:bottom w:val="nil"/>
            <w:end w:val="nil"/>
          </w:tcBorders>
        </w:tcPr>
        <w:p>
          <w:pPr>
            <w:pStyle w:val="Normal"/>
            <w:widowControl/>
            <w:spacing w:lineRule="auto" w:line="240" w:before="240" w:after="240"/>
            <w:contextualSpacing/>
            <w:jc w:val="center"/>
            <w:rPr>
              <w:rFonts w:ascii="Times New Roman" w:hAnsi="Times New Roman"/>
              <w:sz w:val="18"/>
              <w:szCs w:val="18"/>
            </w:rPr>
          </w:pPr>
          <w:r>
            <w:rPr>
              <w:rFonts w:eastAsia="Calibri" w:cs="" w:ascii="Times New Roman" w:hAnsi="Times New Roman"/>
              <w:kern w:val="0"/>
              <w:sz w:val="18"/>
              <w:szCs w:val="18"/>
              <w:lang w:val="tr-TR" w:eastAsia="en-US" w:bidi="ar-SA"/>
            </w:rPr>
            <w:t>TNKÜ FBE (2021)</w:t>
          </w:r>
        </w:p>
      </w:tc>
      <w:tc>
        <w:tcPr>
          <w:tcW w:w="3031" w:type="dxa"/>
          <w:tcBorders>
            <w:top w:val="nil"/>
            <w:start w:val="nil"/>
            <w:bottom w:val="nil"/>
            <w:end w:val="nil"/>
          </w:tcBorders>
        </w:tcPr>
        <w:p>
          <w:pPr>
            <w:pStyle w:val="Normal"/>
            <w:widowControl/>
            <w:spacing w:lineRule="auto" w:line="240" w:before="240" w:after="240"/>
            <w:contextualSpacing/>
            <w:jc w:val="end"/>
            <w:rPr>
              <w:rFonts w:ascii="Calibri" w:hAnsi="Calibri" w:eastAsia="Calibri" w:cs=""/>
              <w:kern w:val="0"/>
              <w:sz w:val="16"/>
              <w:szCs w:val="16"/>
              <w:lang w:val="tr-TR" w:eastAsia="en-US" w:bidi="ar-SA"/>
            </w:rPr>
          </w:pPr>
          <w:r>
            <w:rPr>
              <w:rFonts w:eastAsia="Calibri" w:cs="" w:ascii="Times New Roman" w:hAnsi="Times New Roman"/>
              <w:kern w:val="0"/>
              <w:sz w:val="16"/>
              <w:szCs w:val="16"/>
              <w:lang w:val="tr-TR" w:eastAsia="en-US" w:bidi="ar-SA"/>
            </w:rPr>
            <w:t>Bilgisayar Mühendisliği</w:t>
          </w:r>
          <w:r>
            <w:rPr>
              <w:rFonts w:eastAsia="Calibri" w:cs="" w:ascii="Times New Roman" w:hAnsi="Times New Roman"/>
              <w:kern w:val="0"/>
              <w:sz w:val="16"/>
              <w:szCs w:val="16"/>
              <w:lang w:val="tr-TR" w:eastAsia="en-US" w:bidi="ar-SA"/>
            </w:rPr>
            <w:t xml:space="preserve"> Anabilim Dalı</w:t>
          </w:r>
        </w:p>
      </w:tc>
    </w:tr>
  </w:tbl>
  <w:p>
    <w:pPr>
      <w:pStyle w:val="Normal"/>
      <w:spacing w:lineRule="auto" w:line="240" w:before="240" w:after="240"/>
      <w:contextualSpacing/>
      <w:rPr>
        <w:rFonts w:ascii="Times New Roman" w:hAnsi="Times New Roman"/>
        <w:color w:val="000000"/>
        <w:sz w:val="18"/>
        <w:szCs w:val="18"/>
      </w:rPr>
    </w:pPr>
    <w:r>
      <w:rPr>
        <w:rFonts w:ascii="Times New Roman" w:hAnsi="Times New Roman"/>
        <w:color w:val="000000"/>
        <w:sz w:val="18"/>
        <w:szCs w:val="18"/>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360" w:hanging="360"/>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720" w:hanging="720"/>
      </w:pPr>
      <w:rPr/>
    </w:lvl>
    <w:lvl w:ilvl="4">
      <w:start w:val="1"/>
      <w:numFmt w:val="decimal"/>
      <w:lvlText w:val="%1.%2.%3.%4.%5."/>
      <w:lvlJc w:val="start"/>
      <w:pPr>
        <w:tabs>
          <w:tab w:val="num" w:pos="0"/>
        </w:tabs>
        <w:ind w:start="1080" w:hanging="1080"/>
      </w:pPr>
      <w:rPr/>
    </w:lvl>
    <w:lvl w:ilvl="5">
      <w:start w:val="1"/>
      <w:numFmt w:val="decimal"/>
      <w:lvlText w:val="%1.%2.%3.%4.%5.%6."/>
      <w:lvlJc w:val="start"/>
      <w:pPr>
        <w:tabs>
          <w:tab w:val="num" w:pos="0"/>
        </w:tabs>
        <w:ind w:start="1080" w:hanging="1080"/>
      </w:pPr>
      <w:rPr/>
    </w:lvl>
    <w:lvl w:ilvl="6">
      <w:start w:val="1"/>
      <w:numFmt w:val="decimal"/>
      <w:lvlText w:val="%1.%2.%3.%4.%5.%6.%7."/>
      <w:lvlJc w:val="start"/>
      <w:pPr>
        <w:tabs>
          <w:tab w:val="num" w:pos="0"/>
        </w:tabs>
        <w:ind w:start="1440" w:hanging="1440"/>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800" w:hanging="180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tr-T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tr-T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91512"/>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tr-TR" w:eastAsia="en-US" w:bidi="ar-SA"/>
    </w:rPr>
  </w:style>
  <w:style w:type="paragraph" w:styleId="Heading3">
    <w:name w:val="heading 3"/>
    <w:basedOn w:val="Heading"/>
    <w:next w:val="BodyText"/>
    <w:qFormat/>
    <w:pPr>
      <w:spacing w:before="140" w:after="120"/>
      <w:outlineLvl w:val="2"/>
    </w:pPr>
    <w:rPr>
      <w:rFonts w:ascii="Liberation Serif" w:hAnsi="Liberation Serif" w:eastAsia="Tahoma" w:cs="Tahoma"/>
      <w:b/>
      <w:bCs/>
      <w:sz w:val="28"/>
      <w:szCs w:val="28"/>
    </w:rPr>
  </w:style>
  <w:style w:type="character" w:styleId="DefaultParagraphFont" w:default="1">
    <w:name w:val="Default Paragraph Font"/>
    <w:uiPriority w:val="1"/>
    <w:semiHidden/>
    <w:unhideWhenUsed/>
    <w:qFormat/>
    <w:rPr/>
  </w:style>
  <w:style w:type="character" w:styleId="BalonMetniChar" w:customStyle="1">
    <w:name w:val="Balon Metni Char"/>
    <w:basedOn w:val="DefaultParagraphFont"/>
    <w:link w:val="BalloonText"/>
    <w:uiPriority w:val="99"/>
    <w:semiHidden/>
    <w:qFormat/>
    <w:rsid w:val="00191512"/>
    <w:rPr>
      <w:rFonts w:ascii="Tahoma" w:hAnsi="Tahoma" w:cs="Tahoma"/>
      <w:sz w:val="16"/>
      <w:szCs w:val="16"/>
    </w:rPr>
  </w:style>
  <w:style w:type="character" w:styleId="Hyperlink">
    <w:name w:val="Hyperlink"/>
    <w:basedOn w:val="DefaultParagraphFont"/>
    <w:uiPriority w:val="99"/>
    <w:unhideWhenUsed/>
    <w:rsid w:val="0099607f"/>
    <w:rPr>
      <w:color w:themeColor="hyperlink" w:val="0000FF"/>
      <w:u w:val="single"/>
    </w:rPr>
  </w:style>
  <w:style w:type="character" w:styleId="stBilgiChar" w:customStyle="1">
    <w:name w:val="Üst Bilgi Char"/>
    <w:basedOn w:val="DefaultParagraphFont"/>
    <w:link w:val="Header"/>
    <w:uiPriority w:val="99"/>
    <w:qFormat/>
    <w:rsid w:val="00a04015"/>
    <w:rPr/>
  </w:style>
  <w:style w:type="character" w:styleId="AltBilgiChar" w:customStyle="1">
    <w:name w:val="Alt Bilgi Char"/>
    <w:basedOn w:val="DefaultParagraphFont"/>
    <w:link w:val="Footer"/>
    <w:uiPriority w:val="99"/>
    <w:qFormat/>
    <w:rsid w:val="00a04015"/>
    <w:rPr/>
  </w:style>
  <w:style w:type="character" w:styleId="GvdeMetniChar" w:customStyle="1">
    <w:name w:val="Gövde Metni Char"/>
    <w:basedOn w:val="DefaultParagraphFont"/>
    <w:uiPriority w:val="1"/>
    <w:qFormat/>
    <w:rsid w:val="002546c2"/>
    <w:rPr>
      <w:rFonts w:ascii="Times New Roman" w:hAnsi="Times New Roman" w:eastAsia="Times New Roman" w:cs="Times New Roman"/>
      <w:sz w:val="24"/>
      <w:szCs w:val="24"/>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GvdeMetniChar"/>
    <w:uiPriority w:val="1"/>
    <w:qFormat/>
    <w:rsid w:val="002546c2"/>
    <w:pPr>
      <w:widowControl w:val="false"/>
      <w:spacing w:lineRule="auto" w:line="240" w:before="0" w:after="0"/>
    </w:pPr>
    <w:rPr>
      <w:rFonts w:ascii="Times New Roman" w:hAnsi="Times New Roman" w:eastAsia="Times New Roman" w:cs="Times New Roman"/>
      <w:sz w:val="2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link w:val="BalonMetniChar"/>
    <w:uiPriority w:val="99"/>
    <w:semiHidden/>
    <w:unhideWhenUsed/>
    <w:qFormat/>
    <w:rsid w:val="00191512"/>
    <w:pPr>
      <w:spacing w:lineRule="auto" w:line="240" w:before="0" w:after="0"/>
    </w:pPr>
    <w:rPr>
      <w:rFonts w:ascii="Tahoma" w:hAnsi="Tahoma" w:cs="Tahoma"/>
      <w:sz w:val="16"/>
      <w:szCs w:val="16"/>
    </w:rPr>
  </w:style>
  <w:style w:type="paragraph" w:styleId="ListParagraph">
    <w:name w:val="List Paragraph"/>
    <w:basedOn w:val="Normal"/>
    <w:uiPriority w:val="1"/>
    <w:qFormat/>
    <w:rsid w:val="00cd522e"/>
    <w:pPr>
      <w:spacing w:before="0" w:after="200"/>
      <w:ind w:start="720"/>
      <w:contextualSpacing/>
    </w:pPr>
    <w:rPr/>
  </w:style>
  <w:style w:type="paragraph" w:styleId="HeaderandFooter">
    <w:name w:val="Header and Footer"/>
    <w:basedOn w:val="Normal"/>
    <w:qFormat/>
    <w:pPr/>
    <w:rPr/>
  </w:style>
  <w:style w:type="paragraph" w:styleId="Header">
    <w:name w:val="header"/>
    <w:basedOn w:val="Normal"/>
    <w:link w:val="stBilgiChar"/>
    <w:uiPriority w:val="99"/>
    <w:unhideWhenUsed/>
    <w:rsid w:val="00a04015"/>
    <w:pPr>
      <w:tabs>
        <w:tab w:val="clear" w:pos="708"/>
        <w:tab w:val="center" w:pos="4536" w:leader="none"/>
        <w:tab w:val="right" w:pos="9072" w:leader="none"/>
      </w:tabs>
      <w:spacing w:lineRule="auto" w:line="240" w:before="0" w:after="0"/>
    </w:pPr>
    <w:rPr/>
  </w:style>
  <w:style w:type="paragraph" w:styleId="Footer">
    <w:name w:val="footer"/>
    <w:basedOn w:val="Normal"/>
    <w:link w:val="AltBilgiChar"/>
    <w:uiPriority w:val="99"/>
    <w:unhideWhenUsed/>
    <w:rsid w:val="00a04015"/>
    <w:pPr>
      <w:tabs>
        <w:tab w:val="clear" w:pos="708"/>
        <w:tab w:val="center" w:pos="4536" w:leader="none"/>
        <w:tab w:val="right" w:pos="9072"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NormalTablo">
    <w:name w:val="Normal Table"/>
    <w:uiPriority w:val="99"/>
    <w:semiHidden/>
    <w:unhideWhenUsed/>
    <w:tblPr>
      <w:tblCellMar>
        <w:top w:w="0" w:type="dxa"/>
        <w:left w:w="108" w:type="dxa"/>
        <w:bottom w:w="0" w:type="dxa"/>
        <w:right w:w="108" w:type="dxa"/>
      </w:tblCellMar>
    </w:tblPr>
  </w:style>
  <w:style w:type="table" w:styleId="TabloKlavuzu">
    <w:name w:val="Table Grid"/>
    <w:basedOn w:val="NormalTablo"/>
    <w:uiPriority w:val="59"/>
    <w:rsid w:val="0019151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fbe.nku.edu.tr/" TargetMode="External"/><Relationship Id="rId4" Type="http://schemas.openxmlformats.org/officeDocument/2006/relationships/image" Target="media/image1.jpe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is Teması">
  <a:themeElements>
    <a:clrScheme name="Ofis">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459</TotalTime>
  <Application>LibreOffice/25.8.3.2$MacOSX_AARCH64 LibreOffice_project/8ca8d55c161d602844f5428fa4b58097424e324e</Application>
  <AppVersion>15.0000</AppVersion>
  <Pages>8</Pages>
  <Words>1702</Words>
  <Characters>12073</Characters>
  <CharactersWithSpaces>13751</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2022-05-30T13:48:00Z</dcterms:created>
  <dc:creator>hp</dc:creator>
  <dc:description/>
  <dc:language>tr-TR</dc:language>
  <cp:lastModifiedBy/>
  <cp:lastPrinted>2021-10-06T11:53:00Z</cp:lastPrinted>
  <dcterms:modified xsi:type="dcterms:W3CDTF">2026-04-21T10:43:24Z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