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DE8" w:rsidRPr="00BB4DE8" w:rsidRDefault="00BB4DE8" w:rsidP="00BB4DE8">
      <w:pPr>
        <w:widowControl w:val="0"/>
        <w:suppressAutoHyphens/>
        <w:spacing w:after="0" w:line="240" w:lineRule="auto"/>
        <w:ind w:firstLine="400"/>
        <w:jc w:val="right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BB4DE8" w:rsidRPr="00BB4DE8" w:rsidRDefault="00BB4DE8" w:rsidP="00BB4DE8">
      <w:pPr>
        <w:widowControl w:val="0"/>
        <w:suppressAutoHyphens/>
        <w:spacing w:after="0" w:line="240" w:lineRule="auto"/>
        <w:ind w:firstLine="400"/>
        <w:jc w:val="right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BB4DE8" w:rsidRPr="00BB4DE8" w:rsidRDefault="00BB4DE8" w:rsidP="00BB4DE8">
      <w:pPr>
        <w:widowControl w:val="0"/>
        <w:suppressAutoHyphens/>
        <w:spacing w:after="0" w:line="240" w:lineRule="auto"/>
        <w:ind w:firstLine="400"/>
        <w:jc w:val="right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BB4DE8" w:rsidRPr="00BB4DE8" w:rsidRDefault="00BB4DE8" w:rsidP="00BB4DE8">
      <w:pPr>
        <w:widowControl w:val="0"/>
        <w:suppressAutoHyphens/>
        <w:spacing w:after="0" w:line="240" w:lineRule="auto"/>
        <w:ind w:firstLine="400"/>
        <w:jc w:val="right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B4DE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2-қосымша</w:t>
      </w:r>
    </w:p>
    <w:p w:rsidR="00BB4DE8" w:rsidRPr="00BB4DE8" w:rsidRDefault="00BB4DE8" w:rsidP="00BB4DE8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B4DE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 </w:t>
      </w:r>
    </w:p>
    <w:p w:rsidR="00BB4DE8" w:rsidRPr="00BB4DE8" w:rsidRDefault="00BB4DE8" w:rsidP="00BB4DE8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B4DE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 </w:t>
      </w:r>
    </w:p>
    <w:p w:rsidR="00BB4DE8" w:rsidRPr="00BB4DE8" w:rsidRDefault="00BB4DE8" w:rsidP="00BB4DE8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BB4DE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Сатып алынатын тауарлардың техникалық ерекшелігі </w:t>
      </w:r>
    </w:p>
    <w:p w:rsidR="00BB4DE8" w:rsidRPr="00BB4DE8" w:rsidRDefault="00BB4DE8" w:rsidP="00BB4DE8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B4D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 w:rsidRPr="00BB4D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тапсырыс</w:t>
      </w:r>
      <w:proofErr w:type="spellEnd"/>
      <w:r w:rsidRPr="00BB4D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беруші</w:t>
      </w:r>
      <w:proofErr w:type="spellEnd"/>
      <w:r w:rsidRPr="00BB4D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толтырады</w:t>
      </w:r>
      <w:proofErr w:type="spellEnd"/>
      <w:r w:rsidRPr="00BB4D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BB4DE8" w:rsidRPr="00BB4DE8" w:rsidRDefault="00BB4DE8" w:rsidP="00BB4DE8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14"/>
        <w:gridCol w:w="5220"/>
      </w:tblGrid>
      <w:tr w:rsidR="00BB4DE8" w:rsidRPr="00BB4DE8" w:rsidTr="00BB4DE8">
        <w:trPr>
          <w:trHeight w:val="1"/>
          <w:jc w:val="center"/>
        </w:trPr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Тауарлардың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жұмыстардың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көрсетілетін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қызметтердің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бірыңғай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номенклатуралық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анықтамалығы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кодының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атауы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262014.000.000001</w:t>
            </w:r>
          </w:p>
        </w:tc>
      </w:tr>
      <w:tr w:rsidR="00BB4DE8" w:rsidRPr="00BB4DE8" w:rsidTr="00BB4DE8">
        <w:trPr>
          <w:trHeight w:val="1"/>
          <w:jc w:val="center"/>
        </w:trPr>
        <w:tc>
          <w:tcPr>
            <w:tcW w:w="411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Таурадың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атауы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B4DE8"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  <w:t>А</w:t>
            </w:r>
            <w:proofErr w:type="spellStart"/>
            <w:r w:rsidRPr="00BB4D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втоматиканы</w:t>
            </w:r>
            <w:proofErr w:type="spellEnd"/>
            <w:r w:rsidRPr="00BB4D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басқару</w:t>
            </w:r>
            <w:proofErr w:type="spellEnd"/>
            <w:r w:rsidRPr="00BB4D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модулі</w:t>
            </w:r>
            <w:proofErr w:type="spellEnd"/>
          </w:p>
        </w:tc>
      </w:tr>
      <w:tr w:rsidR="00BB4DE8" w:rsidRPr="00BB4DE8" w:rsidTr="00BB4DE8">
        <w:trPr>
          <w:trHeight w:val="1"/>
          <w:jc w:val="center"/>
        </w:trPr>
        <w:tc>
          <w:tcPr>
            <w:tcW w:w="411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Өлшем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бірлігі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</w:pPr>
            <w:r w:rsidRPr="00BB4DE8"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  <w:t>дана</w:t>
            </w:r>
          </w:p>
        </w:tc>
      </w:tr>
      <w:tr w:rsidR="00BB4DE8" w:rsidRPr="00BB4DE8" w:rsidTr="00BB4DE8">
        <w:trPr>
          <w:trHeight w:val="1"/>
          <w:jc w:val="center"/>
        </w:trPr>
        <w:tc>
          <w:tcPr>
            <w:tcW w:w="411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Саны (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көлемі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)*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</w:pPr>
            <w:r w:rsidRPr="00BB4DE8"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  <w:t>15</w:t>
            </w:r>
          </w:p>
        </w:tc>
      </w:tr>
      <w:tr w:rsidR="00BB4DE8" w:rsidRPr="00BB4DE8" w:rsidTr="00BB4DE8">
        <w:trPr>
          <w:trHeight w:val="1"/>
          <w:jc w:val="center"/>
        </w:trPr>
        <w:tc>
          <w:tcPr>
            <w:tcW w:w="411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Бірлік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бағасы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қосылған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құн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салығын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қоспағанда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B4DE8" w:rsidRPr="00BB4DE8" w:rsidTr="00BB4DE8">
        <w:trPr>
          <w:trHeight w:val="1"/>
          <w:jc w:val="center"/>
        </w:trPr>
        <w:tc>
          <w:tcPr>
            <w:tcW w:w="411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Қосылған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құн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салығын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қоспағанда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сатып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алуға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бөлінген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жалпы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сома*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B4DE8" w:rsidRPr="00BB4DE8" w:rsidTr="00BB4DE8">
        <w:trPr>
          <w:trHeight w:val="1"/>
          <w:jc w:val="center"/>
        </w:trPr>
        <w:tc>
          <w:tcPr>
            <w:tcW w:w="411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Жеткізу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шарты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(ИНКОТЕРМС 2010-ға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)*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BB4D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DDP</w:t>
            </w:r>
          </w:p>
        </w:tc>
      </w:tr>
      <w:tr w:rsidR="00BB4DE8" w:rsidRPr="00BB4DE8" w:rsidTr="00BB4DE8">
        <w:trPr>
          <w:trHeight w:val="1"/>
          <w:jc w:val="center"/>
        </w:trPr>
        <w:tc>
          <w:tcPr>
            <w:tcW w:w="411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Жеткізу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мерзімі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</w:pPr>
            <w:r w:rsidRPr="00BB4DE8"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  <w:t>60 күнтізбелік күн</w:t>
            </w:r>
          </w:p>
        </w:tc>
      </w:tr>
      <w:tr w:rsidR="00BB4DE8" w:rsidRPr="00BB4DE8" w:rsidTr="00BB4DE8">
        <w:trPr>
          <w:trHeight w:val="1"/>
          <w:jc w:val="center"/>
        </w:trPr>
        <w:tc>
          <w:tcPr>
            <w:tcW w:w="411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Тауарларды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жеткізу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орны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B4DE8" w:rsidRPr="00BB4DE8" w:rsidTr="00BB4DE8">
        <w:trPr>
          <w:trHeight w:val="1"/>
          <w:jc w:val="center"/>
        </w:trPr>
        <w:tc>
          <w:tcPr>
            <w:tcW w:w="411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Аванстық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төлем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мөлшері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</w:pPr>
            <w:r w:rsidRPr="00BB4DE8"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  <w:t>0%</w:t>
            </w:r>
          </w:p>
        </w:tc>
      </w:tr>
      <w:tr w:rsidR="00BB4DE8" w:rsidRPr="00BB4DE8" w:rsidTr="00BB4DE8">
        <w:trPr>
          <w:trHeight w:val="1"/>
          <w:jc w:val="center"/>
        </w:trPr>
        <w:tc>
          <w:tcPr>
            <w:tcW w:w="411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Сатып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алынатын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тауарларға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ұлттық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стандарттардың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ал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олар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болмаған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жағдайда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мемлекетаралық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стандарттардың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атауы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Ұлттық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мемлекетаралық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стандарттар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болмаған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кезде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мемлекеттік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сатып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алуды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нормалау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ескеріле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отырып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сатып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алынатын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тауарлардың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талап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етілетін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функционалдық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техникалық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сапалық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пайдаланушылық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сипаттамалары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көрсетіледі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Бөлме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температурасының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жұмыс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аралығы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+5°С-тан +50°С-қа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дейін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Температура 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датчиктерінің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жұмыс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аралығы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- 55 0С-тан +125 0С-қа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дейін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Ылғалдылық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датчигінің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жұмыс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аралығы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0%-дан 100%-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дейін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Ішкі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жад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кемінде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 МБ; 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SD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карталарын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орнатуды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қолдау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иә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1WIRE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кемінде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үш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температура 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датчигін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қосу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мүмкіндігі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. </w:t>
            </w:r>
            <w:r w:rsidRPr="00BB4D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Порттардың сипаттамасы: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Ethernet порттары - кемінде 1 дана;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USB - кемінде 1 дана; 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RS-232 (Modbus RTU) - кемінде 1 дана; 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RS-485 (Modbus RTU) - кемінде 1 дана;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Релелік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контактілер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бірақ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данадан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кем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емес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Құрғақ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контактілер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кемінде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 дана;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Аналогтық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кірістер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(0-12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В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-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кемінде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 дана; 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B4DE8" w:rsidRPr="00BB4DE8" w:rsidTr="00BB4DE8">
        <w:trPr>
          <w:trHeight w:val="1"/>
          <w:jc w:val="center"/>
        </w:trPr>
        <w:tc>
          <w:tcPr>
            <w:tcW w:w="411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Шыққан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жылы</w:t>
            </w:r>
            <w:proofErr w:type="spellEnd"/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2022</w:t>
            </w:r>
          </w:p>
        </w:tc>
      </w:tr>
      <w:tr w:rsidR="00BB4DE8" w:rsidRPr="00BB4DE8" w:rsidTr="00BB4DE8">
        <w:trPr>
          <w:trHeight w:val="1"/>
          <w:jc w:val="center"/>
        </w:trPr>
        <w:tc>
          <w:tcPr>
            <w:tcW w:w="411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Кепілдік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мерзімі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айлар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BB4DE8" w:rsidRPr="00BB4DE8" w:rsidTr="00BB4DE8">
        <w:trPr>
          <w:trHeight w:val="1"/>
          <w:jc w:val="center"/>
        </w:trPr>
        <w:tc>
          <w:tcPr>
            <w:tcW w:w="411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Сатып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алынатын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тауарлардың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қажетті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функционалдық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техникалық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сапалық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өнімділігі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мен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басқа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сипаттамаларының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сипатталуы</w:t>
            </w:r>
            <w:proofErr w:type="spellEnd"/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иканы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басқару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құрғақ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контактілі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жабдықтар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мен 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датчиктерді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бақылауға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арналған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Істен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шыққан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жабдықты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ауыстыру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үшін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сатып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алынады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Қаптамадағы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өндірістік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код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компоненттердің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өздеріндегі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өндірістік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кодқа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келуі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керек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Бөлме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температурасының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жұмыс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аралығы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+5°С-тан +50°С-қа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дейін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Температура 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датчиктерінің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жұмыс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аралығы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- 55 0С-тан +125 0С-қа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дейін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Ылғалдылық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датчигінің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жұмыс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аралығы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0%-дан 100%-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дейін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Ішкі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жад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кемінде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 МБ; 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SD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карталарын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орнатуды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қолдау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иә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1WIRE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кемінде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үш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температура 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датчигін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қосу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мүмкіндігі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Порттардың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сипаттамасы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: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Ethernet порттары - кемінде 1 дана;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USB - кемінде 1 дана; 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RS-232 (Modbus RTU) - кемінде 1 дана; 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RS-485 (Modbus RTU) - кемінде 1 дана;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Релелік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контактілер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бірақ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данадан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кем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емес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Құрғақ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контактілер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кемінде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 дана;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Аналогтық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кірістер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(0-12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В</w:t>
            </w:r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-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кемінде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 дана; </w:t>
            </w:r>
          </w:p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B4DE8" w:rsidRPr="00BB4DE8" w:rsidTr="00BB4DE8">
        <w:trPr>
          <w:trHeight w:val="1"/>
          <w:jc w:val="center"/>
        </w:trPr>
        <w:tc>
          <w:tcPr>
            <w:tcW w:w="411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Байланысты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қызметтер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қажет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болған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жағдайда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көрсетіледі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(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монтаждау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іске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қосу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дайындау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тексеру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тауарларды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сынау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B4DE8" w:rsidRPr="00BB4DE8" w:rsidTr="00BB4DE8">
        <w:trPr>
          <w:trHeight w:val="1"/>
          <w:jc w:val="center"/>
        </w:trPr>
        <w:tc>
          <w:tcPr>
            <w:tcW w:w="411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Орындаушы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жеңімпаз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деп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анықталған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жағдайда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әлеуетті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өнім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берушіге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қойылатын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талаптар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онымен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мемлекеттік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сатып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алу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туралы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шарт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жасасу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қажет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болған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жағдайда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көрсетіледі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(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Әлеуетті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өнім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берушіні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көрсетілген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мәліметтерді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көрсетпегені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немесе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бермегені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үшін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қабылдамауға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жол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берілмейді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E8" w:rsidRPr="00BB4DE8" w:rsidRDefault="00BB4DE8" w:rsidP="00BB4DE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proofErr w:type="spellStart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Бұрын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пайдалануда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болған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және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қалпына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келтірілген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тауарды</w:t>
            </w:r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жеткізуге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жол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берілмейді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Тауарды</w:t>
            </w:r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жеткізу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өндіруші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зауыттың </w:t>
            </w:r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фирма</w:t>
            </w:r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лық қаптамасында</w:t>
            </w:r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жүзеге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асырылуы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тиіс</w:t>
            </w:r>
            <w:proofErr w:type="spellEnd"/>
            <w:r w:rsidRPr="00BB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.</w:t>
            </w:r>
          </w:p>
        </w:tc>
      </w:tr>
    </w:tbl>
    <w:p w:rsidR="00BB4DE8" w:rsidRPr="00BB4DE8" w:rsidRDefault="00BB4DE8" w:rsidP="00BB4DE8">
      <w:pPr>
        <w:widowControl w:val="0"/>
        <w:suppressAutoHyphens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мәліметтер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мемлекеттік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сатып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алу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жоспарынан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алынады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автоматты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түрде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көрсетіледі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B4DE8" w:rsidRPr="00BB4DE8" w:rsidRDefault="00BB4DE8" w:rsidP="00BB4DE8">
      <w:pPr>
        <w:widowControl w:val="0"/>
        <w:suppressAutoHyphens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Ескерту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4DE8" w:rsidRPr="00BB4DE8" w:rsidRDefault="00BB4DE8" w:rsidP="00BB4DE8">
      <w:pPr>
        <w:widowControl w:val="0"/>
        <w:suppressAutoHyphens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Функционалдық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техникалық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сапалық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пайдаланушылық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өзге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сипаттамалар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ілеспе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қызметтер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бойынша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әрбір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талап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қосымша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талаптар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бөлек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жолда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көрсетіледі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4DE8" w:rsidRPr="00BB4DE8" w:rsidRDefault="00BB4DE8" w:rsidP="00BB4DE8">
      <w:pPr>
        <w:widowControl w:val="0"/>
        <w:suppressAutoHyphens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Өзге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құжаттарда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техникалық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ерекшеліктің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талаптарын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белгілеуге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жол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берілмейді</w:t>
      </w:r>
      <w:proofErr w:type="spellEnd"/>
      <w:r w:rsidRPr="00BB4D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4DE8" w:rsidRPr="00BB4DE8" w:rsidRDefault="00BB4DE8" w:rsidP="00BB4DE8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6034" w:rsidRDefault="00CE6034">
      <w:bookmarkStart w:id="0" w:name="_GoBack"/>
      <w:bookmarkEnd w:id="0"/>
    </w:p>
    <w:sectPr w:rsidR="00CE6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DE8"/>
    <w:rsid w:val="00BB4DE8"/>
    <w:rsid w:val="00CE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9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Әсем Уразалимова</dc:creator>
  <cp:lastModifiedBy>Әсем Уразалимова</cp:lastModifiedBy>
  <cp:revision>1</cp:revision>
  <dcterms:created xsi:type="dcterms:W3CDTF">2023-09-01T07:32:00Z</dcterms:created>
  <dcterms:modified xsi:type="dcterms:W3CDTF">2023-09-01T07:32:00Z</dcterms:modified>
</cp:coreProperties>
</file>