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szCs w:val="32"/>
        </w:rPr>
        <w:t xml:space="preserve">Вопросы из обращения № ЗТ-2026-03028872</w:t>
      </w:r>
    </w:p>
    <w:p>
      <w:pPr>
        <w:spacing w:after="300"/>
      </w:pPr>
      <w:r>
        <w:rPr>
          <w:sz w:val="20"/>
          <w:szCs w:val="20"/>
        </w:rPr>
        <w:t xml:space="preserve">Официальный запрос СМИ (Bizmedia.kz / ТОО «EMPIRE-MEDIA») к Министру ИИ и цифрового развития РК по программе «GovTech Camp». Дата приема обращения: 16.07.2026.</w:t>
      </w:r>
    </w:p>
    <w:p>
      <w:pPr>
        <w:spacing w:after="200"/>
      </w:pPr>
      <w:r>
        <w:t xml:space="preserve">1. Из каких конкретно источников финансируются расходы на 12-недельное проживание, питание, администрирование и предоставление рабочей инфраструктуры в Астане для участников GovTech Camp?</w:t>
      </w:r>
    </w:p>
    <w:p>
      <w:pPr>
        <w:spacing w:after="200"/>
      </w:pPr>
      <w:r>
        <w:t xml:space="preserve">2. Какова общая утвержденная смета программы GovTech Camp на 2026 год, и какую точную долю в ней составляют государственные и квазигосударственные средства?</w:t>
      </w:r>
    </w:p>
    <w:p>
      <w:pPr>
        <w:spacing w:after="200"/>
      </w:pPr>
      <w:r>
        <w:t xml:space="preserve">3. В рамках программы заявлено два параллельных направления: разработка решений для госсектора (GovTech) и создание коммерческих продуктов для частной экосистемы inDrive и университета inVision U. Каким образом с правовой и финансовой точек зрения разграничены эти треки? Существуют ли юридические гарантии и бухгалтерский учет, подтверждающие, что государственная инфраструктура, ресурсы и налоговые преференции Astana Hub используются исключительно для государственного направления и не субсидируют R&amp;D-разработки частной международной компании?</w:t>
      </w:r>
    </w:p>
    <w:p>
      <w:pPr>
        <w:spacing w:after="200"/>
      </w:pPr>
      <w:r>
        <w:t xml:space="preserve">4. В своем публичном выступлении CTO inDrive Юрий Мисник отметил, что участники кемпа будут работать «с реальными данными и ограничениями и логикой государственных структур и процессов». К каким конкретно информационным системам, базам данных МИИЦР РК, Акимата г. Астаны или иных госорганов получат доступ участники программы и их кураторы (менторы) со стороны частной компании inDrive?</w:t>
      </w:r>
    </w:p>
    <w:p>
      <w:pPr>
        <w:spacing w:after="200"/>
      </w:pPr>
      <w:r>
        <w:t xml:space="preserve">5. Прошли ли данные массивы информации процедуру полного обезличивания в соответствии с Законом РК «О персональных данных и их защите»? Какими нормативно-правовыми актами регламентирована передача даже обезличенных государственных данных в работу участникам проектных кемпов и представителям коммерческих структур без прохождения обязательных процедур аттестации на предмет информационной безопасности?</w:t>
      </w:r>
    </w:p>
    <w:p>
      <w:pPr>
        <w:spacing w:after="200"/>
      </w:pPr>
      <w:r>
        <w:t xml:space="preserve">6. Первый вице-министр подчеркнул, что программа создает условия, в которых решения могут быть «доработаны до уровня внедрения и масштабирования в государственных органах и организациях». Каким образом планируется дальнейшее юридическое оформление, приемка и закупка созданных в рамках GovTech Camp продуктов государственными органами (в частности, МИИЦР РК и Акиматом г. Астаны)?</w:t>
      </w:r>
    </w:p>
    <w:p>
      <w:pPr>
        <w:spacing w:after="200"/>
      </w:pPr>
      <w:r>
        <w:t xml:space="preserve">7. Будут ли данные продукты закупаться через открытый конкурентный тендер на общих основаниях (где участие в кемпе не предоставляет никаких преимуществ), либо формат GovTech Camp используется в качестве механизма для обоснования пилотных проектов и последующего заключения договоров из одного источника (путем прямого закупа)?</w:t>
      </w:r>
    </w:p>
    <w:sectPr>
      <w:pgSz w:w="11906" w:h="16838"/>
      <w:pgMar w:top="1134" w:bottom="1134" w:left="1134" w:right="1134"/>
    </w:sectPr>
  </w:body>
</w:document>
</file>