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A6484">
      <w:pPr>
        <w:jc w:val="right"/>
      </w:pPr>
      <w:r>
        <w:rPr>
          <w:color w:val="5A5A5A"/>
          <w:sz w:val="18"/>
        </w:rPr>
        <w:t>Projet final - Jedha Data Science Fullstack</w:t>
      </w:r>
    </w:p>
    <w:p w14:paraId="0F5A1D03">
      <w:pPr>
        <w:pStyle w:val="34"/>
        <w:jc w:val="center"/>
      </w:pPr>
      <w:r>
        <w:t>Note de cadrage</w:t>
      </w:r>
      <w:r>
        <w:br w:type="textWrapping"/>
      </w:r>
      <w:r>
        <w:t>Auditeur de Cohérence Médicale</w:t>
      </w:r>
    </w:p>
    <w:p w14:paraId="16774E91">
      <w:pPr>
        <w:jc w:val="center"/>
      </w:pPr>
      <w:r>
        <w:rPr>
          <w:i/>
          <w:color w:val="505050"/>
          <w:sz w:val="22"/>
        </w:rPr>
        <w:t>Détection multimodale de cohérence entre radiographie thoracique et compte-rendu médical</w:t>
      </w:r>
    </w:p>
    <w:p w14:paraId="1DC72F05"/>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7166"/>
      </w:tblGrid>
      <w:tr w14:paraId="4DBB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tcBorders>
              <w:top w:val="single" w:color="D9E2F3" w:sz="4" w:space="0"/>
              <w:left w:val="single" w:color="D9E2F3" w:sz="4" w:space="0"/>
              <w:bottom w:val="single" w:color="D9E2F3" w:sz="4" w:space="0"/>
              <w:right w:val="single" w:color="D9E2F3" w:sz="4" w:space="0"/>
            </w:tcBorders>
            <w:shd w:val="clear" w:color="auto" w:fill="4472C4"/>
            <w:vAlign w:val="center"/>
          </w:tcPr>
          <w:p w14:paraId="6C6F7BC7">
            <w:pPr>
              <w:spacing w:after="0"/>
            </w:pPr>
            <w:r>
              <w:rPr>
                <w:b/>
                <w:color w:val="FFFFFF"/>
                <w:sz w:val="17"/>
              </w:rPr>
              <w:t>Élément</w:t>
            </w:r>
          </w:p>
        </w:tc>
        <w:tc>
          <w:tcPr>
            <w:tcW w:w="7166" w:type="dxa"/>
            <w:tcBorders>
              <w:top w:val="single" w:color="D9E2F3" w:sz="4" w:space="0"/>
              <w:left w:val="single" w:color="D9E2F3" w:sz="4" w:space="0"/>
              <w:bottom w:val="single" w:color="D9E2F3" w:sz="4" w:space="0"/>
              <w:right w:val="single" w:color="D9E2F3" w:sz="4" w:space="0"/>
            </w:tcBorders>
            <w:shd w:val="clear" w:color="auto" w:fill="4472C4"/>
            <w:vAlign w:val="center"/>
          </w:tcPr>
          <w:p w14:paraId="7717E991">
            <w:pPr>
              <w:spacing w:after="0"/>
            </w:pPr>
            <w:r>
              <w:rPr>
                <w:b/>
                <w:color w:val="FFFFFF"/>
                <w:sz w:val="17"/>
              </w:rPr>
              <w:t>Description</w:t>
            </w:r>
          </w:p>
        </w:tc>
      </w:tr>
      <w:tr w14:paraId="63EE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tcBorders>
              <w:top w:val="single" w:color="D9E2F3" w:sz="4" w:space="0"/>
              <w:left w:val="single" w:color="D9E2F3" w:sz="4" w:space="0"/>
              <w:bottom w:val="single" w:color="D9E2F3" w:sz="4" w:space="0"/>
              <w:right w:val="single" w:color="D9E2F3" w:sz="4" w:space="0"/>
            </w:tcBorders>
            <w:vAlign w:val="center"/>
          </w:tcPr>
          <w:p w14:paraId="7543F638">
            <w:pPr>
              <w:spacing w:after="0"/>
              <w:rPr>
                <w:rFonts w:hint="default"/>
                <w:lang w:val="fr-FR"/>
              </w:rPr>
            </w:pPr>
            <w:r>
              <w:rPr>
                <w:rFonts w:hint="default"/>
                <w:sz w:val="17"/>
                <w:lang w:val="fr-FR"/>
              </w:rPr>
              <w:t>Groupe</w:t>
            </w:r>
          </w:p>
        </w:tc>
        <w:tc>
          <w:tcPr>
            <w:tcW w:w="7166" w:type="dxa"/>
            <w:tcBorders>
              <w:top w:val="single" w:color="D9E2F3" w:sz="4" w:space="0"/>
              <w:left w:val="single" w:color="D9E2F3" w:sz="4" w:space="0"/>
              <w:bottom w:val="single" w:color="D9E2F3" w:sz="4" w:space="0"/>
              <w:right w:val="single" w:color="D9E2F3" w:sz="4" w:space="0"/>
            </w:tcBorders>
            <w:vAlign w:val="center"/>
          </w:tcPr>
          <w:p w14:paraId="588D7BE4">
            <w:pPr>
              <w:spacing w:after="0"/>
              <w:rPr>
                <w:rFonts w:hint="default"/>
                <w:lang w:val="fr-FR"/>
              </w:rPr>
            </w:pPr>
            <w:r>
              <w:rPr>
                <w:rFonts w:hint="default"/>
                <w:lang w:val="fr-FR"/>
              </w:rPr>
              <w:t>Aicha FATHELLAH - David HERBEZ - Sameer MECHHOUD - Sohaib EL MAAROUFI</w:t>
            </w:r>
          </w:p>
        </w:tc>
      </w:tr>
      <w:tr w14:paraId="2BF4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6F6C10C">
            <w:pPr>
              <w:spacing w:after="0"/>
            </w:pPr>
            <w:r>
              <w:rPr>
                <w:sz w:val="17"/>
              </w:rPr>
              <w:t>Type de projet</w:t>
            </w:r>
          </w:p>
        </w:tc>
        <w:tc>
          <w:tcPr>
            <w:tcW w:w="7166"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6EC9C37">
            <w:pPr>
              <w:spacing w:after="0"/>
            </w:pPr>
            <w:r>
              <w:rPr>
                <w:sz w:val="17"/>
              </w:rPr>
              <w:t>Classification binaire multimodale image + texte</w:t>
            </w:r>
          </w:p>
        </w:tc>
      </w:tr>
      <w:tr w14:paraId="035D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tcBorders>
              <w:top w:val="single" w:color="D9E2F3" w:sz="4" w:space="0"/>
              <w:left w:val="single" w:color="D9E2F3" w:sz="4" w:space="0"/>
              <w:bottom w:val="single" w:color="D9E2F3" w:sz="4" w:space="0"/>
              <w:right w:val="single" w:color="D9E2F3" w:sz="4" w:space="0"/>
            </w:tcBorders>
            <w:vAlign w:val="center"/>
          </w:tcPr>
          <w:p w14:paraId="00B297CE">
            <w:pPr>
              <w:spacing w:after="0"/>
            </w:pPr>
            <w:r>
              <w:rPr>
                <w:sz w:val="17"/>
              </w:rPr>
              <w:t>Domaine</w:t>
            </w:r>
          </w:p>
        </w:tc>
        <w:tc>
          <w:tcPr>
            <w:tcW w:w="7166" w:type="dxa"/>
            <w:tcBorders>
              <w:top w:val="single" w:color="D9E2F3" w:sz="4" w:space="0"/>
              <w:left w:val="single" w:color="D9E2F3" w:sz="4" w:space="0"/>
              <w:bottom w:val="single" w:color="D9E2F3" w:sz="4" w:space="0"/>
              <w:right w:val="single" w:color="D9E2F3" w:sz="4" w:space="0"/>
            </w:tcBorders>
            <w:vAlign w:val="center"/>
          </w:tcPr>
          <w:p w14:paraId="2720EFBE">
            <w:pPr>
              <w:spacing w:after="0"/>
            </w:pPr>
            <w:r>
              <w:rPr>
                <w:sz w:val="17"/>
              </w:rPr>
              <w:t>IA appliquée à la santé - aide à la priorisation de revue humaine</w:t>
            </w:r>
          </w:p>
        </w:tc>
      </w:tr>
      <w:tr w14:paraId="18F7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04D7ADB">
            <w:pPr>
              <w:spacing w:after="0"/>
            </w:pPr>
            <w:r>
              <w:rPr>
                <w:sz w:val="17"/>
              </w:rPr>
              <w:t>Statut</w:t>
            </w:r>
          </w:p>
        </w:tc>
        <w:tc>
          <w:tcPr>
            <w:tcW w:w="7166"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7D6198C">
            <w:pPr>
              <w:spacing w:after="0"/>
            </w:pPr>
            <w:r>
              <w:rPr>
                <w:sz w:val="17"/>
              </w:rPr>
              <w:t>Cadrage MVP et validation technique des données</w:t>
            </w:r>
          </w:p>
        </w:tc>
      </w:tr>
      <w:tr w14:paraId="0985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tcBorders>
              <w:top w:val="single" w:color="D9E2F3" w:sz="4" w:space="0"/>
              <w:left w:val="single" w:color="D9E2F3" w:sz="4" w:space="0"/>
              <w:bottom w:val="single" w:color="D9E2F3" w:sz="4" w:space="0"/>
              <w:right w:val="single" w:color="D9E2F3" w:sz="4" w:space="0"/>
            </w:tcBorders>
            <w:vAlign w:val="center"/>
          </w:tcPr>
          <w:p w14:paraId="412A0DA2">
            <w:pPr>
              <w:spacing w:after="0"/>
              <w:rPr>
                <w:rFonts w:hint="default"/>
                <w:lang w:val="fr-FR"/>
              </w:rPr>
            </w:pPr>
            <w:r>
              <w:rPr>
                <w:rFonts w:hint="default"/>
                <w:sz w:val="17"/>
                <w:lang w:val="fr-FR"/>
              </w:rPr>
              <w:t>Deadline projet</w:t>
            </w:r>
          </w:p>
        </w:tc>
        <w:tc>
          <w:tcPr>
            <w:tcW w:w="7166" w:type="dxa"/>
            <w:tcBorders>
              <w:top w:val="single" w:color="D9E2F3" w:sz="4" w:space="0"/>
              <w:left w:val="single" w:color="D9E2F3" w:sz="4" w:space="0"/>
              <w:bottom w:val="single" w:color="D9E2F3" w:sz="4" w:space="0"/>
              <w:right w:val="single" w:color="D9E2F3" w:sz="4" w:space="0"/>
            </w:tcBorders>
            <w:vAlign w:val="center"/>
          </w:tcPr>
          <w:p w14:paraId="5B6D4DA9">
            <w:pPr>
              <w:spacing w:after="0"/>
            </w:pPr>
            <w:r>
              <w:rPr>
                <w:sz w:val="17"/>
              </w:rPr>
              <w:t>17/06</w:t>
            </w:r>
          </w:p>
        </w:tc>
      </w:tr>
    </w:tbl>
    <w:p w14:paraId="1E6F4162"/>
    <w:tbl>
      <w:tblPr>
        <w:tblStyle w:val="35"/>
        <w:tblW w:w="0" w:type="auto"/>
        <w:jc w:val="center"/>
        <w:tblLayout w:type="autofit"/>
        <w:tblCellMar>
          <w:top w:w="0" w:type="dxa"/>
          <w:left w:w="108" w:type="dxa"/>
          <w:bottom w:w="0" w:type="dxa"/>
          <w:right w:w="108" w:type="dxa"/>
        </w:tblCellMar>
      </w:tblPr>
      <w:tblGrid>
        <w:gridCol w:w="10312"/>
      </w:tblGrid>
      <w:tr w14:paraId="0E022D91">
        <w:tblPrEx>
          <w:tblCellMar>
            <w:top w:w="0" w:type="dxa"/>
            <w:left w:w="108" w:type="dxa"/>
            <w:bottom w:w="0" w:type="dxa"/>
            <w:right w:w="108" w:type="dxa"/>
          </w:tblCellMar>
        </w:tblPrEx>
        <w:trPr>
          <w:jc w:val="center"/>
        </w:trPr>
        <w:tc>
          <w:tcPr>
            <w:tcW w:w="10312" w:type="dxa"/>
            <w:tcBorders>
              <w:top w:val="single" w:color="8EAADB" w:sz="8" w:space="0"/>
              <w:left w:val="single" w:color="8EAADB" w:sz="8" w:space="0"/>
              <w:bottom w:val="single" w:color="8EAADB" w:sz="8" w:space="0"/>
              <w:right w:val="single" w:color="8EAADB" w:sz="8" w:space="0"/>
            </w:tcBorders>
            <w:shd w:val="clear" w:color="auto" w:fill="EAF2F8"/>
          </w:tcPr>
          <w:p w14:paraId="624D1B61">
            <w:pPr>
              <w:rPr>
                <w:b/>
                <w:color w:val="1F4E79"/>
                <w:sz w:val="18"/>
              </w:rPr>
            </w:pPr>
            <w:r>
              <w:rPr>
                <w:b/>
                <w:color w:val="1F4E79"/>
                <w:sz w:val="18"/>
              </w:rPr>
              <w:t>Résumé exécutif</w:t>
            </w:r>
          </w:p>
          <w:p w14:paraId="1F69E828">
            <w:pPr>
              <w:spacing w:after="0"/>
            </w:pPr>
            <w:r>
              <w:rPr>
                <w:sz w:val="18"/>
              </w:rPr>
              <w:t>Auditeur de Cohérence Médicale est un prototype d’IA multimodale qui compare une radiographie thoracique et son compte-rendu associé afin d’estimer leur cohérence. Le système produit un score, un niveau de risque et une recommandation de revue humaine. Le projet vise à démontrer la faisabilité d’un pipeline data science complet, de la préparation des données à l’évaluation et à la démonstration. Le MVP doit démontrer une chaîne de bout en bout fiable : appariement des données, création de paires positives/négatives, modèle multimodal, évaluation claire et démonstration exploitable.</w:t>
            </w:r>
          </w:p>
        </w:tc>
      </w:tr>
    </w:tbl>
    <w:p w14:paraId="3E4AEA8F"/>
    <w:p w14:paraId="519F4E07">
      <w:pPr>
        <w:pStyle w:val="2"/>
      </w:pPr>
      <w:r>
        <w:t>1. Contexte et intention du projet</w:t>
      </w:r>
    </w:p>
    <w:p w14:paraId="60314998">
      <w:r>
        <w:t>Les systèmes d'information médicaux manipulent simultanément des images, des comptes-rendus et des métadonnées patient. Une incohérence entre une radiographie et le rapport associé peut créer un risque opérationnel : erreur de rattachement, omission, mauvaise priorisation ou contrôle qualité insuffisant.</w:t>
      </w:r>
    </w:p>
    <w:p w14:paraId="09D2BB9A">
      <w:r>
        <w:t>Dans le cadre du projet final Jedha DS Fullstack, ce projet propose un auditeur de cohérence médicale reposant sur une approche multimodale : une branche image analyse la radiographie thoracique, une branche texte analyse le compte-rendu, puis une couche de fusion estime la cohérence globale de la paire.</w:t>
      </w:r>
    </w:p>
    <w:tbl>
      <w:tblPr>
        <w:tblStyle w:val="35"/>
        <w:tblW w:w="0" w:type="auto"/>
        <w:jc w:val="center"/>
        <w:tblLayout w:type="autofit"/>
        <w:tblCellMar>
          <w:top w:w="0" w:type="dxa"/>
          <w:left w:w="108" w:type="dxa"/>
          <w:bottom w:w="0" w:type="dxa"/>
          <w:right w:w="108" w:type="dxa"/>
        </w:tblCellMar>
      </w:tblPr>
      <w:tblGrid>
        <w:gridCol w:w="10312"/>
      </w:tblGrid>
      <w:tr w14:paraId="575ACB32">
        <w:tblPrEx>
          <w:tblCellMar>
            <w:top w:w="0" w:type="dxa"/>
            <w:left w:w="108" w:type="dxa"/>
            <w:bottom w:w="0" w:type="dxa"/>
            <w:right w:w="108" w:type="dxa"/>
          </w:tblCellMar>
        </w:tblPrEx>
        <w:trPr>
          <w:jc w:val="center"/>
        </w:trPr>
        <w:tc>
          <w:tcPr>
            <w:tcW w:w="10312" w:type="dxa"/>
            <w:tcBorders>
              <w:top w:val="single" w:color="8EAADB" w:sz="8" w:space="0"/>
              <w:left w:val="single" w:color="8EAADB" w:sz="8" w:space="0"/>
              <w:bottom w:val="single" w:color="8EAADB" w:sz="8" w:space="0"/>
              <w:right w:val="single" w:color="8EAADB" w:sz="8" w:space="0"/>
            </w:tcBorders>
            <w:shd w:val="clear" w:color="auto" w:fill="FFF2CC"/>
          </w:tcPr>
          <w:p w14:paraId="70D1C4F1">
            <w:r>
              <w:rPr>
                <w:b/>
                <w:color w:val="1F4E79"/>
                <w:sz w:val="18"/>
              </w:rPr>
              <w:t>Positionnement</w:t>
            </w:r>
          </w:p>
          <w:p w14:paraId="2DDE9F58">
            <w:pPr>
              <w:spacing w:after="0"/>
            </w:pPr>
            <w:r>
              <w:rPr>
                <w:sz w:val="18"/>
              </w:rPr>
              <w:t xml:space="preserve">Le système </w:t>
            </w:r>
            <w:r>
              <w:rPr>
                <w:rFonts w:hint="default"/>
                <w:sz w:val="18"/>
                <w:lang w:val="fr-FR"/>
              </w:rPr>
              <w:t xml:space="preserve">est </w:t>
            </w:r>
            <w:r>
              <w:rPr>
                <w:sz w:val="18"/>
              </w:rPr>
              <w:t>un outil d'aide à la priorisation de revue humaine</w:t>
            </w:r>
            <w:r>
              <w:rPr>
                <w:rFonts w:hint="default"/>
                <w:sz w:val="18"/>
                <w:lang w:val="fr-FR"/>
              </w:rPr>
              <w:t xml:space="preserve"> et non </w:t>
            </w:r>
            <w:r>
              <w:rPr>
                <w:sz w:val="18"/>
              </w:rPr>
              <w:t>pas un outil de diagnostic autonome.</w:t>
            </w:r>
          </w:p>
        </w:tc>
      </w:tr>
    </w:tbl>
    <w:p w14:paraId="532CD3AA"/>
    <w:p w14:paraId="51E179EE">
      <w:pPr>
        <w:pStyle w:val="2"/>
      </w:pPr>
      <w:r>
        <w:t>2. Problématique</w:t>
      </w:r>
    </w:p>
    <w:p w14:paraId="32EC7320">
      <w:r>
        <w:rPr>
          <w:b/>
        </w:rPr>
        <w:t xml:space="preserve">Problématique centrale : </w:t>
      </w:r>
      <w:r>
        <w:t>Construire un modèle de classification binaire multimodale qui estime si une paire radiographie thoracique / compte-rendu médical est cohérente ou incohérente, afin de prioriser une revue humaine.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3402"/>
      </w:tblGrid>
      <w:tr w14:paraId="3D49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D0A15D2">
            <w:pPr>
              <w:spacing w:after="0"/>
            </w:pPr>
            <w:r>
              <w:rPr>
                <w:b/>
                <w:color w:val="FFFFFF"/>
                <w:sz w:val="17"/>
              </w:rPr>
              <w:t>Entrée</w:t>
            </w:r>
          </w:p>
        </w:tc>
        <w:tc>
          <w:tcPr>
            <w:tcW w:w="2835"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0A43BFF0">
            <w:pPr>
              <w:spacing w:after="0"/>
            </w:pPr>
            <w:r>
              <w:rPr>
                <w:b/>
                <w:color w:val="FFFFFF"/>
                <w:sz w:val="17"/>
              </w:rPr>
              <w:t>Traitement</w:t>
            </w:r>
          </w:p>
        </w:tc>
        <w:tc>
          <w:tcPr>
            <w:tcW w:w="340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5ADBF151">
            <w:pPr>
              <w:spacing w:after="0"/>
            </w:pPr>
            <w:r>
              <w:rPr>
                <w:b/>
                <w:color w:val="FFFFFF"/>
                <w:sz w:val="17"/>
              </w:rPr>
              <w:t>Sortie attendue</w:t>
            </w:r>
          </w:p>
        </w:tc>
      </w:tr>
      <w:tr w14:paraId="7068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D9E2F3" w:sz="4" w:space="0"/>
              <w:left w:val="single" w:color="D9E2F3" w:sz="4" w:space="0"/>
              <w:bottom w:val="single" w:color="D9E2F3" w:sz="4" w:space="0"/>
              <w:right w:val="single" w:color="D9E2F3" w:sz="4" w:space="0"/>
            </w:tcBorders>
            <w:vAlign w:val="center"/>
          </w:tcPr>
          <w:p w14:paraId="509B9A85">
            <w:pPr>
              <w:spacing w:after="0"/>
            </w:pPr>
            <w:r>
              <w:rPr>
                <w:sz w:val="17"/>
              </w:rPr>
              <w:t>Radiographie thoracique + compte-rendu médical</w:t>
            </w:r>
          </w:p>
        </w:tc>
        <w:tc>
          <w:tcPr>
            <w:tcW w:w="2835" w:type="dxa"/>
            <w:tcBorders>
              <w:top w:val="single" w:color="D9E2F3" w:sz="4" w:space="0"/>
              <w:left w:val="single" w:color="D9E2F3" w:sz="4" w:space="0"/>
              <w:bottom w:val="single" w:color="D9E2F3" w:sz="4" w:space="0"/>
              <w:right w:val="single" w:color="D9E2F3" w:sz="4" w:space="0"/>
            </w:tcBorders>
            <w:vAlign w:val="center"/>
          </w:tcPr>
          <w:p w14:paraId="5039AC60">
            <w:pPr>
              <w:spacing w:after="0"/>
            </w:pPr>
            <w:r>
              <w:rPr>
                <w:sz w:val="17"/>
              </w:rPr>
              <w:t>Modèle multimodal image + texte</w:t>
            </w:r>
          </w:p>
        </w:tc>
        <w:tc>
          <w:tcPr>
            <w:tcW w:w="3402" w:type="dxa"/>
            <w:tcBorders>
              <w:top w:val="single" w:color="D9E2F3" w:sz="4" w:space="0"/>
              <w:left w:val="single" w:color="D9E2F3" w:sz="4" w:space="0"/>
              <w:bottom w:val="single" w:color="D9E2F3" w:sz="4" w:space="0"/>
              <w:right w:val="single" w:color="D9E2F3" w:sz="4" w:space="0"/>
            </w:tcBorders>
            <w:vAlign w:val="center"/>
          </w:tcPr>
          <w:p w14:paraId="048AD9EB">
            <w:pPr>
              <w:spacing w:after="0"/>
            </w:pPr>
            <w:r>
              <w:rPr>
                <w:sz w:val="17"/>
              </w:rPr>
              <w:t>Score de cohérence, risque d’incohérence, action recommandée</w:t>
            </w:r>
          </w:p>
        </w:tc>
      </w:tr>
    </w:tbl>
    <w:p w14:paraId="57862C89"/>
    <w:p w14:paraId="18B48814">
      <w:pPr>
        <w:pStyle w:val="2"/>
      </w:pPr>
      <w:r>
        <w:t>3. Objectifs du MVP</w:t>
      </w:r>
    </w:p>
    <w:p w14:paraId="1D8161AB">
      <w:r>
        <w:t>Le MVP doit prouver la faisabilité technique du pipeline complet, avec un niveau de complexité maîtrisé et défendable devant un jury.</w:t>
      </w:r>
    </w:p>
    <w:p w14:paraId="65B29D79">
      <w:pPr>
        <w:pStyle w:val="33"/>
      </w:pPr>
      <w:r>
        <w:t>Valider l’appariement image/rapport à partir des identifiants disponibles dans les chemins ou métadonnées.</w:t>
      </w:r>
    </w:p>
    <w:p w14:paraId="5EC6C5FC">
      <w:pPr>
        <w:pStyle w:val="33"/>
      </w:pPr>
      <w:r>
        <w:t>Créer un dataset équilibré composé de paires cohérentes et incohérentes.</w:t>
      </w:r>
    </w:p>
    <w:p w14:paraId="7332E5FE">
      <w:pPr>
        <w:pStyle w:val="33"/>
      </w:pPr>
      <w:r>
        <w:t>Construire une baseline multimodale simple et interprétable.</w:t>
      </w:r>
    </w:p>
    <w:p w14:paraId="45DCCCC4">
      <w:pPr>
        <w:pStyle w:val="33"/>
      </w:pPr>
      <w:r>
        <w:t>Entraîner un modèle binaire multimodal capable de produire un score de cohérence.</w:t>
      </w:r>
    </w:p>
    <w:p w14:paraId="39D0122E">
      <w:pPr>
        <w:pStyle w:val="33"/>
      </w:pPr>
      <w:r>
        <w:t>Évaluer le modèle avec des métriques lisibles : confusion matrix, ROC-AUC, precision, recall, F1-score.</w:t>
      </w:r>
    </w:p>
    <w:p w14:paraId="53997D77">
      <w:pPr>
        <w:pStyle w:val="33"/>
      </w:pPr>
      <w:r>
        <w:t>Proposer une démonstration claire : image + rapport -&gt; score + risque + action recommandée.</w:t>
      </w:r>
    </w:p>
    <w:p w14:paraId="58D02F2D">
      <w:pPr>
        <w:pStyle w:val="2"/>
      </w:pPr>
      <w:r>
        <w:t>4. Sorties fonctionnelles attendues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5102"/>
      </w:tblGrid>
      <w:tr w14:paraId="40E3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2A3751EA">
            <w:pPr>
              <w:spacing w:after="0"/>
            </w:pPr>
            <w:r>
              <w:rPr>
                <w:b/>
                <w:color w:val="FFFFFF"/>
                <w:sz w:val="17"/>
              </w:rPr>
              <w:t>Niveau</w:t>
            </w:r>
          </w:p>
        </w:tc>
        <w:tc>
          <w:tcPr>
            <w:tcW w:w="226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29DCF15">
            <w:pPr>
              <w:spacing w:after="0"/>
            </w:pPr>
            <w:r>
              <w:rPr>
                <w:b/>
                <w:color w:val="FFFFFF"/>
                <w:sz w:val="17"/>
              </w:rPr>
              <w:t>Sortie</w:t>
            </w:r>
          </w:p>
        </w:tc>
        <w:tc>
          <w:tcPr>
            <w:tcW w:w="510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CD75A79">
            <w:pPr>
              <w:spacing w:after="0"/>
            </w:pPr>
            <w:r>
              <w:rPr>
                <w:b/>
                <w:color w:val="FFFFFF"/>
                <w:sz w:val="17"/>
              </w:rPr>
              <w:t>Description</w:t>
            </w:r>
          </w:p>
        </w:tc>
      </w:tr>
      <w:tr w14:paraId="2ED5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4" w:space="0"/>
              <w:left w:val="single" w:color="D9E2F3" w:sz="4" w:space="0"/>
              <w:bottom w:val="single" w:color="D9E2F3" w:sz="4" w:space="0"/>
              <w:right w:val="single" w:color="D9E2F3" w:sz="4" w:space="0"/>
            </w:tcBorders>
            <w:vAlign w:val="center"/>
          </w:tcPr>
          <w:p w14:paraId="4B59215A">
            <w:pPr>
              <w:spacing w:after="0"/>
            </w:pPr>
            <w:r>
              <w:rPr>
                <w:sz w:val="17"/>
              </w:rPr>
              <w:t>MVP prioritaire</w:t>
            </w:r>
          </w:p>
        </w:tc>
        <w:tc>
          <w:tcPr>
            <w:tcW w:w="2268" w:type="dxa"/>
            <w:tcBorders>
              <w:top w:val="single" w:color="D9E2F3" w:sz="4" w:space="0"/>
              <w:left w:val="single" w:color="D9E2F3" w:sz="4" w:space="0"/>
              <w:bottom w:val="single" w:color="D9E2F3" w:sz="4" w:space="0"/>
              <w:right w:val="single" w:color="D9E2F3" w:sz="4" w:space="0"/>
            </w:tcBorders>
            <w:vAlign w:val="center"/>
          </w:tcPr>
          <w:p w14:paraId="758B03DF">
            <w:pPr>
              <w:spacing w:after="0"/>
            </w:pPr>
            <w:r>
              <w:rPr>
                <w:sz w:val="17"/>
              </w:rPr>
              <w:t>Score de cohérence</w:t>
            </w:r>
          </w:p>
        </w:tc>
        <w:tc>
          <w:tcPr>
            <w:tcW w:w="5102" w:type="dxa"/>
            <w:tcBorders>
              <w:top w:val="single" w:color="D9E2F3" w:sz="4" w:space="0"/>
              <w:left w:val="single" w:color="D9E2F3" w:sz="4" w:space="0"/>
              <w:bottom w:val="single" w:color="D9E2F3" w:sz="4" w:space="0"/>
              <w:right w:val="single" w:color="D9E2F3" w:sz="4" w:space="0"/>
            </w:tcBorders>
            <w:vAlign w:val="center"/>
          </w:tcPr>
          <w:p w14:paraId="24EDBB1D">
            <w:pPr>
              <w:spacing w:after="0"/>
            </w:pPr>
            <w:r>
              <w:rPr>
                <w:sz w:val="17"/>
              </w:rPr>
              <w:t>Score continu entre 0 et 1 obtenu après sigmoid.</w:t>
            </w:r>
          </w:p>
        </w:tc>
      </w:tr>
      <w:tr w14:paraId="709D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DBDCCD9">
            <w:pPr>
              <w:spacing w:after="0"/>
            </w:pPr>
            <w:r>
              <w:rPr>
                <w:sz w:val="17"/>
              </w:rPr>
              <w:t>MVP prioritaire</w:t>
            </w:r>
          </w:p>
        </w:tc>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E510FAB">
            <w:pPr>
              <w:spacing w:after="0"/>
            </w:pPr>
            <w:r>
              <w:rPr>
                <w:sz w:val="17"/>
              </w:rPr>
              <w:t>Risque d’incohérence</w:t>
            </w:r>
          </w:p>
        </w:tc>
        <w:tc>
          <w:tcPr>
            <w:tcW w:w="51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7F8C9C6">
            <w:pPr>
              <w:spacing w:after="0"/>
            </w:pPr>
            <w:r>
              <w:rPr>
                <w:sz w:val="17"/>
              </w:rPr>
              <w:t>Interprétation métier du score : faible, intermédiaire ou élevé.</w:t>
            </w:r>
          </w:p>
        </w:tc>
      </w:tr>
      <w:tr w14:paraId="75EB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4" w:space="0"/>
              <w:left w:val="single" w:color="D9E2F3" w:sz="4" w:space="0"/>
              <w:bottom w:val="single" w:color="D9E2F3" w:sz="4" w:space="0"/>
              <w:right w:val="single" w:color="D9E2F3" w:sz="4" w:space="0"/>
            </w:tcBorders>
            <w:vAlign w:val="center"/>
          </w:tcPr>
          <w:p w14:paraId="69F9FCB0">
            <w:pPr>
              <w:spacing w:after="0"/>
            </w:pPr>
            <w:r>
              <w:rPr>
                <w:sz w:val="17"/>
              </w:rPr>
              <w:t>MVP prioritaire</w:t>
            </w:r>
          </w:p>
        </w:tc>
        <w:tc>
          <w:tcPr>
            <w:tcW w:w="2268" w:type="dxa"/>
            <w:tcBorders>
              <w:top w:val="single" w:color="D9E2F3" w:sz="4" w:space="0"/>
              <w:left w:val="single" w:color="D9E2F3" w:sz="4" w:space="0"/>
              <w:bottom w:val="single" w:color="D9E2F3" w:sz="4" w:space="0"/>
              <w:right w:val="single" w:color="D9E2F3" w:sz="4" w:space="0"/>
            </w:tcBorders>
            <w:vAlign w:val="center"/>
          </w:tcPr>
          <w:p w14:paraId="1B9429BE">
            <w:pPr>
              <w:spacing w:after="0"/>
            </w:pPr>
            <w:r>
              <w:rPr>
                <w:sz w:val="17"/>
              </w:rPr>
              <w:t>Action recommandée</w:t>
            </w:r>
          </w:p>
        </w:tc>
        <w:tc>
          <w:tcPr>
            <w:tcW w:w="5102" w:type="dxa"/>
            <w:tcBorders>
              <w:top w:val="single" w:color="D9E2F3" w:sz="4" w:space="0"/>
              <w:left w:val="single" w:color="D9E2F3" w:sz="4" w:space="0"/>
              <w:bottom w:val="single" w:color="D9E2F3" w:sz="4" w:space="0"/>
              <w:right w:val="single" w:color="D9E2F3" w:sz="4" w:space="0"/>
            </w:tcBorders>
            <w:vAlign w:val="center"/>
          </w:tcPr>
          <w:p w14:paraId="6134B2F6">
            <w:pPr>
              <w:spacing w:after="0"/>
            </w:pPr>
            <w:r>
              <w:rPr>
                <w:sz w:val="17"/>
              </w:rPr>
              <w:t>Orientation de la revue humaine selon le niveau de risque.</w:t>
            </w:r>
          </w:p>
        </w:tc>
      </w:tr>
      <w:tr w14:paraId="1DA7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3BDBB7E">
            <w:pPr>
              <w:spacing w:after="0"/>
              <w:rPr>
                <w:rFonts w:hint="default"/>
                <w:lang w:val="fr-FR"/>
              </w:rPr>
            </w:pPr>
            <w:r>
              <w:rPr>
                <w:sz w:val="17"/>
              </w:rPr>
              <w:t>Extension possible</w:t>
            </w:r>
            <w:r>
              <w:rPr>
                <w:rFonts w:hint="default"/>
                <w:sz w:val="17"/>
                <w:lang w:val="fr-FR"/>
              </w:rPr>
              <w:t xml:space="preserve"> / post-MVP</w:t>
            </w:r>
          </w:p>
        </w:tc>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0B7C802">
            <w:pPr>
              <w:spacing w:after="0"/>
            </w:pPr>
            <w:r>
              <w:rPr>
                <w:sz w:val="17"/>
              </w:rPr>
              <w:t>Indices explicatifs</w:t>
            </w:r>
          </w:p>
        </w:tc>
        <w:tc>
          <w:tcPr>
            <w:tcW w:w="51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2D7AF43">
            <w:pPr>
              <w:spacing w:after="0"/>
            </w:pPr>
            <w:r>
              <w:rPr>
                <w:sz w:val="17"/>
              </w:rPr>
              <w:t>Termes médicaux détectés et visualisation Grad-CAM si applicable.</w:t>
            </w:r>
          </w:p>
        </w:tc>
      </w:tr>
      <w:tr w14:paraId="7EB7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9E2F3" w:sz="4" w:space="0"/>
              <w:left w:val="single" w:color="D9E2F3" w:sz="4" w:space="0"/>
              <w:bottom w:val="single" w:color="D9E2F3" w:sz="4" w:space="0"/>
              <w:right w:val="single" w:color="D9E2F3" w:sz="4" w:space="0"/>
            </w:tcBorders>
            <w:vAlign w:val="center"/>
          </w:tcPr>
          <w:p w14:paraId="64621683">
            <w:pPr>
              <w:spacing w:after="0"/>
            </w:pPr>
            <w:r>
              <w:rPr>
                <w:sz w:val="17"/>
              </w:rPr>
              <w:t>Ambitieux / post-MVP</w:t>
            </w:r>
          </w:p>
        </w:tc>
        <w:tc>
          <w:tcPr>
            <w:tcW w:w="2268" w:type="dxa"/>
            <w:tcBorders>
              <w:top w:val="single" w:color="D9E2F3" w:sz="4" w:space="0"/>
              <w:left w:val="single" w:color="D9E2F3" w:sz="4" w:space="0"/>
              <w:bottom w:val="single" w:color="D9E2F3" w:sz="4" w:space="0"/>
              <w:right w:val="single" w:color="D9E2F3" w:sz="4" w:space="0"/>
            </w:tcBorders>
            <w:vAlign w:val="center"/>
          </w:tcPr>
          <w:p w14:paraId="60A098F6">
            <w:pPr>
              <w:spacing w:after="0"/>
            </w:pPr>
            <w:r>
              <w:rPr>
                <w:sz w:val="17"/>
              </w:rPr>
              <w:t>RAG médical</w:t>
            </w:r>
          </w:p>
        </w:tc>
        <w:tc>
          <w:tcPr>
            <w:tcW w:w="5102" w:type="dxa"/>
            <w:tcBorders>
              <w:top w:val="single" w:color="D9E2F3" w:sz="4" w:space="0"/>
              <w:left w:val="single" w:color="D9E2F3" w:sz="4" w:space="0"/>
              <w:bottom w:val="single" w:color="D9E2F3" w:sz="4" w:space="0"/>
              <w:right w:val="single" w:color="D9E2F3" w:sz="4" w:space="0"/>
            </w:tcBorders>
            <w:vAlign w:val="center"/>
          </w:tcPr>
          <w:p w14:paraId="31647DAA">
            <w:pPr>
              <w:spacing w:after="0"/>
            </w:pPr>
            <w:r>
              <w:rPr>
                <w:sz w:val="17"/>
              </w:rPr>
              <w:t>Ajout éventuel d’un module documentaire après stabilisation du MVP.</w:t>
            </w:r>
          </w:p>
        </w:tc>
      </w:tr>
    </w:tbl>
    <w:p w14:paraId="2DDB4C4F"/>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3969"/>
      </w:tblGrid>
      <w:tr w14:paraId="613C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70AD47"/>
            <w:vAlign w:val="center"/>
          </w:tcPr>
          <w:p w14:paraId="341ED0F1">
            <w:pPr>
              <w:spacing w:after="0"/>
            </w:pPr>
            <w:r>
              <w:rPr>
                <w:b/>
                <w:color w:val="FFFFFF"/>
                <w:sz w:val="17"/>
              </w:rPr>
              <w:t>Score de cohérence</w:t>
            </w:r>
          </w:p>
        </w:tc>
        <w:tc>
          <w:tcPr>
            <w:tcW w:w="2835" w:type="dxa"/>
            <w:tcBorders>
              <w:top w:val="single" w:color="D9E2F3" w:sz="4" w:space="0"/>
              <w:left w:val="single" w:color="D9E2F3" w:sz="4" w:space="0"/>
              <w:bottom w:val="single" w:color="D9E2F3" w:sz="4" w:space="0"/>
              <w:right w:val="single" w:color="D9E2F3" w:sz="4" w:space="0"/>
            </w:tcBorders>
            <w:shd w:val="clear" w:color="auto" w:fill="70AD47"/>
            <w:vAlign w:val="center"/>
          </w:tcPr>
          <w:p w14:paraId="13CFDFBA">
            <w:pPr>
              <w:spacing w:after="0"/>
            </w:pPr>
            <w:r>
              <w:rPr>
                <w:b/>
                <w:color w:val="FFFFFF"/>
                <w:sz w:val="17"/>
              </w:rPr>
              <w:t>Risque d’incohérence</w:t>
            </w:r>
          </w:p>
        </w:tc>
        <w:tc>
          <w:tcPr>
            <w:tcW w:w="3969" w:type="dxa"/>
            <w:tcBorders>
              <w:top w:val="single" w:color="D9E2F3" w:sz="4" w:space="0"/>
              <w:left w:val="single" w:color="D9E2F3" w:sz="4" w:space="0"/>
              <w:bottom w:val="single" w:color="D9E2F3" w:sz="4" w:space="0"/>
              <w:right w:val="single" w:color="D9E2F3" w:sz="4" w:space="0"/>
            </w:tcBorders>
            <w:shd w:val="clear" w:color="auto" w:fill="70AD47"/>
            <w:vAlign w:val="center"/>
          </w:tcPr>
          <w:p w14:paraId="0C0DDD4D">
            <w:pPr>
              <w:spacing w:after="0"/>
            </w:pPr>
            <w:r>
              <w:rPr>
                <w:b/>
                <w:color w:val="FFFFFF"/>
                <w:sz w:val="17"/>
              </w:rPr>
              <w:t>Action recommandée</w:t>
            </w:r>
          </w:p>
        </w:tc>
      </w:tr>
      <w:tr w14:paraId="7DCC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37E3D1FC">
            <w:pPr>
              <w:spacing w:after="0"/>
            </w:pPr>
            <w:r>
              <w:rPr>
                <w:sz w:val="17"/>
              </w:rPr>
              <w:t>&gt; 0,70</w:t>
            </w:r>
          </w:p>
        </w:tc>
        <w:tc>
          <w:tcPr>
            <w:tcW w:w="2835" w:type="dxa"/>
            <w:tcBorders>
              <w:top w:val="single" w:color="D9E2F3" w:sz="4" w:space="0"/>
              <w:left w:val="single" w:color="D9E2F3" w:sz="4" w:space="0"/>
              <w:bottom w:val="single" w:color="D9E2F3" w:sz="4" w:space="0"/>
              <w:right w:val="single" w:color="D9E2F3" w:sz="4" w:space="0"/>
            </w:tcBorders>
            <w:vAlign w:val="center"/>
          </w:tcPr>
          <w:p w14:paraId="1B48076B">
            <w:pPr>
              <w:spacing w:after="0"/>
            </w:pPr>
            <w:r>
              <w:rPr>
                <w:sz w:val="17"/>
              </w:rPr>
              <w:t>Faible</w:t>
            </w:r>
          </w:p>
        </w:tc>
        <w:tc>
          <w:tcPr>
            <w:tcW w:w="3969" w:type="dxa"/>
            <w:tcBorders>
              <w:top w:val="single" w:color="D9E2F3" w:sz="4" w:space="0"/>
              <w:left w:val="single" w:color="D9E2F3" w:sz="4" w:space="0"/>
              <w:bottom w:val="single" w:color="D9E2F3" w:sz="4" w:space="0"/>
              <w:right w:val="single" w:color="D9E2F3" w:sz="4" w:space="0"/>
            </w:tcBorders>
            <w:vAlign w:val="center"/>
          </w:tcPr>
          <w:p w14:paraId="761DF7B2">
            <w:pPr>
              <w:spacing w:after="0"/>
            </w:pPr>
            <w:r>
              <w:rPr>
                <w:sz w:val="17"/>
              </w:rPr>
              <w:t>Revue standard</w:t>
            </w:r>
          </w:p>
        </w:tc>
      </w:tr>
      <w:tr w14:paraId="24E22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C658E4E">
            <w:pPr>
              <w:spacing w:after="0"/>
            </w:pPr>
            <w:r>
              <w:rPr>
                <w:sz w:val="17"/>
              </w:rPr>
              <w:t>0,30 à 0,70</w:t>
            </w:r>
          </w:p>
        </w:tc>
        <w:tc>
          <w:tcPr>
            <w:tcW w:w="283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6E87763">
            <w:pPr>
              <w:spacing w:after="0"/>
            </w:pPr>
            <w:r>
              <w:rPr>
                <w:sz w:val="17"/>
              </w:rPr>
              <w:t>Intermédiaire / incertain</w:t>
            </w:r>
          </w:p>
        </w:tc>
        <w:tc>
          <w:tcPr>
            <w:tcW w:w="3969"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6B1536D">
            <w:pPr>
              <w:spacing w:after="0"/>
            </w:pPr>
            <w:r>
              <w:rPr>
                <w:sz w:val="17"/>
              </w:rPr>
              <w:t>Revue humaine recommandée</w:t>
            </w:r>
          </w:p>
        </w:tc>
      </w:tr>
      <w:tr w14:paraId="5281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672710AB">
            <w:pPr>
              <w:spacing w:after="0"/>
            </w:pPr>
            <w:r>
              <w:rPr>
                <w:sz w:val="17"/>
              </w:rPr>
              <w:t>&lt; 0,30</w:t>
            </w:r>
          </w:p>
        </w:tc>
        <w:tc>
          <w:tcPr>
            <w:tcW w:w="2835" w:type="dxa"/>
            <w:tcBorders>
              <w:top w:val="single" w:color="D9E2F3" w:sz="4" w:space="0"/>
              <w:left w:val="single" w:color="D9E2F3" w:sz="4" w:space="0"/>
              <w:bottom w:val="single" w:color="D9E2F3" w:sz="4" w:space="0"/>
              <w:right w:val="single" w:color="D9E2F3" w:sz="4" w:space="0"/>
            </w:tcBorders>
            <w:vAlign w:val="center"/>
          </w:tcPr>
          <w:p w14:paraId="7F056CA9">
            <w:pPr>
              <w:spacing w:after="0"/>
            </w:pPr>
            <w:r>
              <w:rPr>
                <w:sz w:val="17"/>
              </w:rPr>
              <w:t>Élevé</w:t>
            </w:r>
          </w:p>
        </w:tc>
        <w:tc>
          <w:tcPr>
            <w:tcW w:w="3969" w:type="dxa"/>
            <w:tcBorders>
              <w:top w:val="single" w:color="D9E2F3" w:sz="4" w:space="0"/>
              <w:left w:val="single" w:color="D9E2F3" w:sz="4" w:space="0"/>
              <w:bottom w:val="single" w:color="D9E2F3" w:sz="4" w:space="0"/>
              <w:right w:val="single" w:color="D9E2F3" w:sz="4" w:space="0"/>
            </w:tcBorders>
            <w:vAlign w:val="center"/>
          </w:tcPr>
          <w:p w14:paraId="7CA67AD8">
            <w:pPr>
              <w:spacing w:after="0"/>
            </w:pPr>
            <w:r>
              <w:rPr>
                <w:sz w:val="17"/>
              </w:rPr>
              <w:t>Revue humaine prioritaire</w:t>
            </w:r>
          </w:p>
        </w:tc>
      </w:tr>
    </w:tbl>
    <w:p w14:paraId="7F3DD2FA"/>
    <w:tbl>
      <w:tblPr>
        <w:tblStyle w:val="35"/>
        <w:tblW w:w="0" w:type="auto"/>
        <w:jc w:val="center"/>
        <w:tblLayout w:type="autofit"/>
        <w:tblCellMar>
          <w:top w:w="0" w:type="dxa"/>
          <w:left w:w="108" w:type="dxa"/>
          <w:bottom w:w="0" w:type="dxa"/>
          <w:right w:w="108" w:type="dxa"/>
        </w:tblCellMar>
      </w:tblPr>
      <w:tblGrid>
        <w:gridCol w:w="10312"/>
      </w:tblGrid>
      <w:tr w14:paraId="39BA6EF0">
        <w:tblPrEx>
          <w:tblCellMar>
            <w:top w:w="0" w:type="dxa"/>
            <w:left w:w="108" w:type="dxa"/>
            <w:bottom w:w="0" w:type="dxa"/>
            <w:right w:w="108" w:type="dxa"/>
          </w:tblCellMar>
        </w:tblPrEx>
        <w:trPr>
          <w:jc w:val="center"/>
        </w:trPr>
        <w:tc>
          <w:tcPr>
            <w:tcW w:w="10312" w:type="dxa"/>
            <w:tcBorders>
              <w:top w:val="single" w:color="8EAADB" w:sz="8" w:space="0"/>
              <w:left w:val="single" w:color="8EAADB" w:sz="8" w:space="0"/>
              <w:bottom w:val="single" w:color="8EAADB" w:sz="8" w:space="0"/>
              <w:right w:val="single" w:color="8EAADB" w:sz="8" w:space="0"/>
            </w:tcBorders>
            <w:shd w:val="clear" w:color="auto" w:fill="FCE4D6"/>
          </w:tcPr>
          <w:p w14:paraId="288F9C52">
            <w:r>
              <w:rPr>
                <w:b/>
                <w:color w:val="1F4E79"/>
                <w:sz w:val="18"/>
              </w:rPr>
              <w:t>Exemple de sortie</w:t>
            </w:r>
          </w:p>
          <w:p w14:paraId="34F09E97">
            <w:pPr>
              <w:spacing w:after="0"/>
            </w:pPr>
            <w:r>
              <w:rPr>
                <w:sz w:val="18"/>
              </w:rPr>
              <w:t>Score de cohérence : 0,18 | Risque d’incohérence : élevé | Action recommandée : revue humaine prioritaire</w:t>
            </w:r>
          </w:p>
        </w:tc>
      </w:tr>
    </w:tbl>
    <w:p w14:paraId="7CA5D56A"/>
    <w:p w14:paraId="47BC3E0B">
      <w:pPr>
        <w:pStyle w:val="2"/>
      </w:pPr>
      <w:r>
        <w:t>5. Périmètre fonctionnel</w:t>
      </w:r>
    </w:p>
    <w:p w14:paraId="1FBFA717">
      <w:pPr>
        <w:pStyle w:val="3"/>
      </w:pPr>
      <w:r>
        <w:t>5.1 Inclus dans le MVP</w:t>
      </w:r>
    </w:p>
    <w:p w14:paraId="2B7F6563">
      <w:pPr>
        <w:pStyle w:val="20"/>
      </w:pPr>
      <w:r>
        <w:t>Chargement d’un sous-ensemble raisonnable des données CheXpert / CheXpert Plus.</w:t>
      </w:r>
    </w:p>
    <w:p w14:paraId="39269859">
      <w:pPr>
        <w:pStyle w:val="20"/>
      </w:pPr>
      <w:r>
        <w:t>Appariement image-rapport à partir des chemins, identifiants ou métadonnées disponibles.</w:t>
      </w:r>
    </w:p>
    <w:p w14:paraId="57AF4546">
      <w:pPr>
        <w:pStyle w:val="20"/>
      </w:pPr>
      <w:r>
        <w:t>Création d’un dataset équilibré : paires positives cohérentes et paires négatives incohérentes.</w:t>
      </w:r>
    </w:p>
    <w:p w14:paraId="77405DCA">
      <w:pPr>
        <w:pStyle w:val="20"/>
      </w:pPr>
      <w:r>
        <w:t>Prétraitement minimal des images : redimensionnement, normalisation, conversion en tenseurs.</w:t>
      </w:r>
    </w:p>
    <w:p w14:paraId="47A119E7">
      <w:pPr>
        <w:pStyle w:val="20"/>
      </w:pPr>
      <w:r>
        <w:t>Prétraitement minimal du texte : nettoyage, limitation de longueur, vectorisation TF-IDF ou embeddings.</w:t>
      </w:r>
    </w:p>
    <w:p w14:paraId="471F57B5">
      <w:pPr>
        <w:pStyle w:val="20"/>
      </w:pPr>
      <w:r>
        <w:t>Entraînement d’un modèle binaire multimodal.</w:t>
      </w:r>
    </w:p>
    <w:p w14:paraId="1BBBB578">
      <w:pPr>
        <w:pStyle w:val="20"/>
      </w:pPr>
      <w:r>
        <w:t>Évaluation sur train/validation/test split avec métriques adaptées.</w:t>
      </w:r>
    </w:p>
    <w:p w14:paraId="4AB24A1D">
      <w:pPr>
        <w:pStyle w:val="20"/>
      </w:pPr>
      <w:r>
        <w:t>Interface ou notebook de démonstration reproductible.</w:t>
      </w:r>
    </w:p>
    <w:p w14:paraId="5E13E074">
      <w:pPr>
        <w:pStyle w:val="3"/>
      </w:pPr>
      <w:r>
        <w:t>5.2 Hors périmètre MVP</w:t>
      </w:r>
    </w:p>
    <w:p w14:paraId="188265E8">
      <w:pPr>
        <w:pStyle w:val="33"/>
      </w:pPr>
      <w:r>
        <w:t>Diagnostic médical autonome.</w:t>
      </w:r>
    </w:p>
    <w:p w14:paraId="19FBF838">
      <w:pPr>
        <w:pStyle w:val="33"/>
      </w:pPr>
      <w:r>
        <w:t>Certification clinique ou validation réglementaire.</w:t>
      </w:r>
    </w:p>
    <w:p w14:paraId="07C33609">
      <w:pPr>
        <w:pStyle w:val="33"/>
      </w:pPr>
      <w:r>
        <w:t>Fine-tuning lourd de grands modèles médicaux.</w:t>
      </w:r>
    </w:p>
    <w:p w14:paraId="1FC925CB">
      <w:pPr>
        <w:pStyle w:val="33"/>
      </w:pPr>
      <w:r>
        <w:t>RAG médical complet avant validation du pipeline principal.</w:t>
      </w:r>
    </w:p>
    <w:p w14:paraId="0752BE61">
      <w:pPr>
        <w:pStyle w:val="33"/>
      </w:pPr>
      <w:r>
        <w:t>Explicabilité avancée si le MVP n’est pas encore stable.</w:t>
      </w:r>
    </w:p>
    <w:p w14:paraId="59885949">
      <w:pPr>
        <w:pStyle w:val="2"/>
      </w:pPr>
      <w:r>
        <w:t>6. Construction des paires négatives</w:t>
      </w:r>
    </w:p>
    <w:p w14:paraId="772BB41F">
      <w:r>
        <w:t>La qualité des paires négatives est déterminante. Une première version peut utiliser des négatifs simples pour valider le pipeline. Une seconde version plus difficile doit ensuite tester la généralisation réelle du modèle.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402"/>
      </w:tblGrid>
      <w:tr w14:paraId="1198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294118AB">
            <w:pPr>
              <w:spacing w:after="0"/>
            </w:pPr>
            <w:r>
              <w:rPr>
                <w:b/>
                <w:color w:val="FFFFFF"/>
                <w:sz w:val="17"/>
              </w:rPr>
              <w:t>Type de négatif</w:t>
            </w:r>
          </w:p>
        </w:tc>
        <w:tc>
          <w:tcPr>
            <w:tcW w:w="340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1EBF9F5C">
            <w:pPr>
              <w:spacing w:after="0"/>
            </w:pPr>
            <w:r>
              <w:rPr>
                <w:b/>
                <w:color w:val="FFFFFF"/>
                <w:sz w:val="17"/>
              </w:rPr>
              <w:t>Exemple</w:t>
            </w:r>
          </w:p>
        </w:tc>
        <w:tc>
          <w:tcPr>
            <w:tcW w:w="340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0A57F61A">
            <w:pPr>
              <w:spacing w:after="0"/>
            </w:pPr>
            <w:r>
              <w:rPr>
                <w:b/>
                <w:color w:val="FFFFFF"/>
                <w:sz w:val="17"/>
              </w:rPr>
              <w:t>Intérêt</w:t>
            </w:r>
          </w:p>
        </w:tc>
      </w:tr>
      <w:tr w14:paraId="1ACA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4A708D8E">
            <w:pPr>
              <w:spacing w:after="0"/>
            </w:pPr>
            <w:r>
              <w:rPr>
                <w:sz w:val="17"/>
              </w:rPr>
              <w:t>Négatif random</w:t>
            </w:r>
          </w:p>
        </w:tc>
        <w:tc>
          <w:tcPr>
            <w:tcW w:w="3402" w:type="dxa"/>
            <w:tcBorders>
              <w:top w:val="single" w:color="D9E2F3" w:sz="4" w:space="0"/>
              <w:left w:val="single" w:color="D9E2F3" w:sz="4" w:space="0"/>
              <w:bottom w:val="single" w:color="D9E2F3" w:sz="4" w:space="0"/>
              <w:right w:val="single" w:color="D9E2F3" w:sz="4" w:space="0"/>
            </w:tcBorders>
            <w:vAlign w:val="center"/>
          </w:tcPr>
          <w:p w14:paraId="4ED7249C">
            <w:pPr>
              <w:spacing w:after="0"/>
            </w:pPr>
            <w:r>
              <w:rPr>
                <w:sz w:val="17"/>
              </w:rPr>
              <w:t>Image normale + rapport mentionnant pneumothorax massif</w:t>
            </w:r>
          </w:p>
        </w:tc>
        <w:tc>
          <w:tcPr>
            <w:tcW w:w="3402" w:type="dxa"/>
            <w:tcBorders>
              <w:top w:val="single" w:color="D9E2F3" w:sz="4" w:space="0"/>
              <w:left w:val="single" w:color="D9E2F3" w:sz="4" w:space="0"/>
              <w:bottom w:val="single" w:color="D9E2F3" w:sz="4" w:space="0"/>
              <w:right w:val="single" w:color="D9E2F3" w:sz="4" w:space="0"/>
            </w:tcBorders>
            <w:vAlign w:val="center"/>
          </w:tcPr>
          <w:p w14:paraId="441845EC">
            <w:pPr>
              <w:spacing w:after="0"/>
            </w:pPr>
            <w:r>
              <w:rPr>
                <w:sz w:val="17"/>
              </w:rPr>
              <w:t>Simple à générer ; utile pour valider rapidement le pipeline.</w:t>
            </w:r>
          </w:p>
        </w:tc>
      </w:tr>
      <w:tr w14:paraId="3BF5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22D4BE3">
            <w:pPr>
              <w:spacing w:after="0"/>
            </w:pPr>
            <w:r>
              <w:rPr>
                <w:sz w:val="17"/>
              </w:rPr>
              <w:t>Négatif pathologie proche</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C64216A">
            <w:pPr>
              <w:spacing w:after="0"/>
            </w:pPr>
            <w:r>
              <w:rPr>
                <w:sz w:val="17"/>
              </w:rPr>
              <w:t>Image avec œdème + rapport d’un autre patient avec cardiomégalie et œdème</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872A024">
            <w:pPr>
              <w:spacing w:after="0"/>
            </w:pPr>
            <w:r>
              <w:rPr>
                <w:sz w:val="17"/>
              </w:rPr>
              <w:t>Plus réaliste ; force le modèle à apprendre des nuances.</w:t>
            </w:r>
          </w:p>
        </w:tc>
      </w:tr>
      <w:tr w14:paraId="5F8F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4F378A5F">
            <w:pPr>
              <w:spacing w:after="0"/>
            </w:pPr>
            <w:r>
              <w:rPr>
                <w:sz w:val="17"/>
              </w:rPr>
              <w:t>Négatif partiel</w:t>
            </w:r>
          </w:p>
        </w:tc>
        <w:tc>
          <w:tcPr>
            <w:tcW w:w="3402" w:type="dxa"/>
            <w:tcBorders>
              <w:top w:val="single" w:color="D9E2F3" w:sz="4" w:space="0"/>
              <w:left w:val="single" w:color="D9E2F3" w:sz="4" w:space="0"/>
              <w:bottom w:val="single" w:color="D9E2F3" w:sz="4" w:space="0"/>
              <w:right w:val="single" w:color="D9E2F3" w:sz="4" w:space="0"/>
            </w:tcBorders>
            <w:vAlign w:val="center"/>
          </w:tcPr>
          <w:p w14:paraId="66DDBA90">
            <w:pPr>
              <w:spacing w:after="0"/>
            </w:pPr>
            <w:r>
              <w:rPr>
                <w:sz w:val="17"/>
              </w:rPr>
              <w:t>Image avec cardiomégalie + épanchement ; rapport mentionnant seulement cardiomégalie</w:t>
            </w:r>
          </w:p>
        </w:tc>
        <w:tc>
          <w:tcPr>
            <w:tcW w:w="3402" w:type="dxa"/>
            <w:tcBorders>
              <w:top w:val="single" w:color="D9E2F3" w:sz="4" w:space="0"/>
              <w:left w:val="single" w:color="D9E2F3" w:sz="4" w:space="0"/>
              <w:bottom w:val="single" w:color="D9E2F3" w:sz="4" w:space="0"/>
              <w:right w:val="single" w:color="D9E2F3" w:sz="4" w:space="0"/>
            </w:tcBorders>
            <w:vAlign w:val="center"/>
          </w:tcPr>
          <w:p w14:paraId="1BE7071D">
            <w:pPr>
              <w:spacing w:after="0"/>
            </w:pPr>
            <w:r>
              <w:rPr>
                <w:sz w:val="17"/>
              </w:rPr>
              <w:t>Difficile ; simule une omission ou une incohérence partielle.</w:t>
            </w:r>
          </w:p>
        </w:tc>
      </w:tr>
      <w:tr w14:paraId="7EE6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090A548">
            <w:pPr>
              <w:spacing w:after="0"/>
            </w:pPr>
            <w:r>
              <w:rPr>
                <w:sz w:val="17"/>
              </w:rPr>
              <w:t>Négatif contrôlé par métadonnées</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F2D8FC8">
            <w:pPr>
              <w:spacing w:after="0"/>
            </w:pPr>
            <w:r>
              <w:rPr>
                <w:sz w:val="17"/>
              </w:rPr>
              <w:t>Même vue, tranche d’âge ou sexe si disponible</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5085933">
            <w:pPr>
              <w:spacing w:after="0"/>
            </w:pPr>
            <w:r>
              <w:rPr>
                <w:sz w:val="17"/>
              </w:rPr>
              <w:t>Réduit les raccourcis statistiques non médicaux.</w:t>
            </w:r>
          </w:p>
        </w:tc>
      </w:tr>
    </w:tbl>
    <w:p w14:paraId="741E0284"/>
    <w:tbl>
      <w:tblPr>
        <w:tblStyle w:val="35"/>
        <w:tblW w:w="0" w:type="auto"/>
        <w:jc w:val="center"/>
        <w:tblLayout w:type="autofit"/>
        <w:tblCellMar>
          <w:top w:w="0" w:type="dxa"/>
          <w:left w:w="108" w:type="dxa"/>
          <w:bottom w:w="0" w:type="dxa"/>
          <w:right w:w="108" w:type="dxa"/>
        </w:tblCellMar>
      </w:tblPr>
      <w:tblGrid>
        <w:gridCol w:w="10312"/>
      </w:tblGrid>
      <w:tr w14:paraId="40F0F6BB">
        <w:tblPrEx>
          <w:tblCellMar>
            <w:top w:w="0" w:type="dxa"/>
            <w:left w:w="108" w:type="dxa"/>
            <w:bottom w:w="0" w:type="dxa"/>
            <w:right w:w="108" w:type="dxa"/>
          </w:tblCellMar>
        </w:tblPrEx>
        <w:trPr>
          <w:jc w:val="center"/>
        </w:trPr>
        <w:tc>
          <w:tcPr>
            <w:tcW w:w="10312" w:type="dxa"/>
            <w:tcBorders>
              <w:top w:val="single" w:color="8EAADB" w:sz="8" w:space="0"/>
              <w:left w:val="single" w:color="8EAADB" w:sz="8" w:space="0"/>
              <w:bottom w:val="single" w:color="8EAADB" w:sz="8" w:space="0"/>
              <w:right w:val="single" w:color="8EAADB" w:sz="8" w:space="0"/>
            </w:tcBorders>
            <w:shd w:val="clear" w:color="auto" w:fill="E2F0D9"/>
          </w:tcPr>
          <w:p w14:paraId="1752696C">
            <w:pPr>
              <w:spacing w:after="0"/>
              <w:rPr>
                <w:rFonts w:hint="default"/>
                <w:b/>
                <w:color w:val="1F4E79"/>
                <w:sz w:val="18"/>
                <w:lang w:val="fr-FR"/>
              </w:rPr>
            </w:pPr>
            <w:r>
              <w:rPr>
                <w:rFonts w:hint="default"/>
                <w:b/>
                <w:color w:val="1F4E79"/>
                <w:sz w:val="18"/>
                <w:lang w:val="fr-FR"/>
              </w:rPr>
              <w:t>Note pour les paires négatives</w:t>
            </w:r>
          </w:p>
          <w:p w14:paraId="005ECB57">
            <w:pPr>
              <w:spacing w:after="0"/>
            </w:pPr>
            <w:r>
              <w:rPr>
                <w:sz w:val="18"/>
              </w:rPr>
              <w:t>Démarrer avec 50 % de paires positives et 50 % de paires négatives. Générer d’abord des négatives faciles pour sécuriser le pipeline, puis construire une version plus exigeante pour tester la robustesse.</w:t>
            </w:r>
          </w:p>
        </w:tc>
      </w:tr>
    </w:tbl>
    <w:p w14:paraId="2CF1FCB5"/>
    <w:p w14:paraId="25DF9BD1">
      <w:pPr>
        <w:pStyle w:val="2"/>
      </w:pPr>
      <w:r>
        <w:t>7. Architecture technique cible</w:t>
      </w:r>
    </w:p>
    <w:p w14:paraId="183106F8">
      <w:r>
        <w:t>Logique générale : image + texte -&gt; embeddings -&gt; concaténation -&gt; classification -&gt; score de cohérence.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551"/>
        <w:gridCol w:w="4535"/>
      </w:tblGrid>
      <w:tr w14:paraId="2BA5D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29B8A6D9">
            <w:pPr>
              <w:spacing w:after="0"/>
            </w:pPr>
            <w:r>
              <w:rPr>
                <w:b/>
                <w:color w:val="FFFFFF"/>
                <w:sz w:val="17"/>
              </w:rPr>
              <w:t>Composant</w:t>
            </w:r>
          </w:p>
        </w:tc>
        <w:tc>
          <w:tcPr>
            <w:tcW w:w="2551"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22816EA0">
            <w:pPr>
              <w:spacing w:after="0"/>
            </w:pPr>
            <w:r>
              <w:rPr>
                <w:b/>
                <w:color w:val="FFFFFF"/>
                <w:sz w:val="17"/>
              </w:rPr>
              <w:t>Choix MVP</w:t>
            </w:r>
          </w:p>
        </w:tc>
        <w:tc>
          <w:tcPr>
            <w:tcW w:w="4535"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7B9D2689">
            <w:pPr>
              <w:spacing w:after="0"/>
            </w:pPr>
            <w:r>
              <w:rPr>
                <w:b/>
                <w:color w:val="FFFFFF"/>
                <w:sz w:val="17"/>
              </w:rPr>
              <w:t>Rôle</w:t>
            </w:r>
          </w:p>
        </w:tc>
      </w:tr>
      <w:tr w14:paraId="67AEB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D9E2F3" w:sz="4" w:space="0"/>
              <w:left w:val="single" w:color="D9E2F3" w:sz="4" w:space="0"/>
              <w:bottom w:val="single" w:color="D9E2F3" w:sz="4" w:space="0"/>
              <w:right w:val="single" w:color="D9E2F3" w:sz="4" w:space="0"/>
            </w:tcBorders>
            <w:vAlign w:val="center"/>
          </w:tcPr>
          <w:p w14:paraId="169013D7">
            <w:pPr>
              <w:spacing w:after="0"/>
            </w:pPr>
            <w:r>
              <w:rPr>
                <w:sz w:val="17"/>
              </w:rPr>
              <w:t>Branche image</w:t>
            </w:r>
          </w:p>
        </w:tc>
        <w:tc>
          <w:tcPr>
            <w:tcW w:w="2551" w:type="dxa"/>
            <w:tcBorders>
              <w:top w:val="single" w:color="D9E2F3" w:sz="4" w:space="0"/>
              <w:left w:val="single" w:color="D9E2F3" w:sz="4" w:space="0"/>
              <w:bottom w:val="single" w:color="D9E2F3" w:sz="4" w:space="0"/>
              <w:right w:val="single" w:color="D9E2F3" w:sz="4" w:space="0"/>
            </w:tcBorders>
            <w:vAlign w:val="center"/>
          </w:tcPr>
          <w:p w14:paraId="214C6246">
            <w:pPr>
              <w:spacing w:after="0"/>
            </w:pPr>
            <w:r>
              <w:rPr>
                <w:sz w:val="17"/>
              </w:rPr>
              <w:t>ResNet18 pré-entraîné gelé</w:t>
            </w:r>
          </w:p>
        </w:tc>
        <w:tc>
          <w:tcPr>
            <w:tcW w:w="4535" w:type="dxa"/>
            <w:tcBorders>
              <w:top w:val="single" w:color="D9E2F3" w:sz="4" w:space="0"/>
              <w:left w:val="single" w:color="D9E2F3" w:sz="4" w:space="0"/>
              <w:bottom w:val="single" w:color="D9E2F3" w:sz="4" w:space="0"/>
              <w:right w:val="single" w:color="D9E2F3" w:sz="4" w:space="0"/>
            </w:tcBorders>
            <w:vAlign w:val="center"/>
          </w:tcPr>
          <w:p w14:paraId="79E4A0B7">
            <w:pPr>
              <w:spacing w:after="0"/>
            </w:pPr>
            <w:r>
              <w:rPr>
                <w:sz w:val="17"/>
              </w:rPr>
              <w:t>Extraire un vecteur image sans entraîner tout le CNN.</w:t>
            </w:r>
          </w:p>
        </w:tc>
      </w:tr>
      <w:tr w14:paraId="372F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2D289CDF">
            <w:pPr>
              <w:spacing w:after="0"/>
            </w:pPr>
            <w:r>
              <w:rPr>
                <w:sz w:val="17"/>
              </w:rPr>
              <w:t>Branche texte</w:t>
            </w:r>
          </w:p>
        </w:tc>
        <w:tc>
          <w:tcPr>
            <w:tcW w:w="255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417D211">
            <w:pPr>
              <w:spacing w:after="0"/>
            </w:pPr>
            <w:r>
              <w:rPr>
                <w:sz w:val="17"/>
              </w:rPr>
              <w:t>TF-IDF sur le rapport</w:t>
            </w:r>
          </w:p>
        </w:tc>
        <w:tc>
          <w:tcPr>
            <w:tcW w:w="453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327443F">
            <w:pPr>
              <w:spacing w:after="0"/>
            </w:pPr>
            <w:r>
              <w:rPr>
                <w:sz w:val="17"/>
              </w:rPr>
              <w:t>Produire un vecteur texte simple, rapide et interprétable.</w:t>
            </w:r>
          </w:p>
        </w:tc>
      </w:tr>
      <w:tr w14:paraId="1E58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D9E2F3" w:sz="4" w:space="0"/>
              <w:left w:val="single" w:color="D9E2F3" w:sz="4" w:space="0"/>
              <w:bottom w:val="single" w:color="D9E2F3" w:sz="4" w:space="0"/>
              <w:right w:val="single" w:color="D9E2F3" w:sz="4" w:space="0"/>
            </w:tcBorders>
            <w:vAlign w:val="center"/>
          </w:tcPr>
          <w:p w14:paraId="4DB3B893">
            <w:pPr>
              <w:spacing w:after="0"/>
            </w:pPr>
            <w:r>
              <w:rPr>
                <w:sz w:val="17"/>
              </w:rPr>
              <w:t>Fusion</w:t>
            </w:r>
          </w:p>
        </w:tc>
        <w:tc>
          <w:tcPr>
            <w:tcW w:w="2551" w:type="dxa"/>
            <w:tcBorders>
              <w:top w:val="single" w:color="D9E2F3" w:sz="4" w:space="0"/>
              <w:left w:val="single" w:color="D9E2F3" w:sz="4" w:space="0"/>
              <w:bottom w:val="single" w:color="D9E2F3" w:sz="4" w:space="0"/>
              <w:right w:val="single" w:color="D9E2F3" w:sz="4" w:space="0"/>
            </w:tcBorders>
            <w:vAlign w:val="center"/>
          </w:tcPr>
          <w:p w14:paraId="3E5C1550">
            <w:pPr>
              <w:spacing w:after="0"/>
            </w:pPr>
            <w:r>
              <w:rPr>
                <w:sz w:val="17"/>
              </w:rPr>
              <w:t>Concaténation image + texte</w:t>
            </w:r>
          </w:p>
        </w:tc>
        <w:tc>
          <w:tcPr>
            <w:tcW w:w="4535" w:type="dxa"/>
            <w:tcBorders>
              <w:top w:val="single" w:color="D9E2F3" w:sz="4" w:space="0"/>
              <w:left w:val="single" w:color="D9E2F3" w:sz="4" w:space="0"/>
              <w:bottom w:val="single" w:color="D9E2F3" w:sz="4" w:space="0"/>
              <w:right w:val="single" w:color="D9E2F3" w:sz="4" w:space="0"/>
            </w:tcBorders>
            <w:vAlign w:val="center"/>
          </w:tcPr>
          <w:p w14:paraId="25B9CA41">
            <w:pPr>
              <w:spacing w:after="0"/>
            </w:pPr>
            <w:r>
              <w:rPr>
                <w:sz w:val="17"/>
              </w:rPr>
              <w:t>Combiner les deux modalités dans une représentation unique.</w:t>
            </w:r>
          </w:p>
        </w:tc>
      </w:tr>
      <w:tr w14:paraId="2078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3379297">
            <w:pPr>
              <w:spacing w:after="0"/>
            </w:pPr>
            <w:r>
              <w:rPr>
                <w:sz w:val="17"/>
              </w:rPr>
              <w:t>Classifieur baseline</w:t>
            </w:r>
          </w:p>
        </w:tc>
        <w:tc>
          <w:tcPr>
            <w:tcW w:w="255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76661EC">
            <w:pPr>
              <w:spacing w:after="0"/>
            </w:pPr>
            <w:r>
              <w:rPr>
                <w:sz w:val="17"/>
              </w:rPr>
              <w:t>Logistic Regression</w:t>
            </w:r>
          </w:p>
        </w:tc>
        <w:tc>
          <w:tcPr>
            <w:tcW w:w="453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53FC20D">
            <w:pPr>
              <w:spacing w:after="0"/>
            </w:pPr>
            <w:r>
              <w:rPr>
                <w:sz w:val="17"/>
              </w:rPr>
              <w:t>Point de comparaison minimal et robuste.</w:t>
            </w:r>
          </w:p>
        </w:tc>
      </w:tr>
      <w:tr w14:paraId="19C7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D9E2F3" w:sz="4" w:space="0"/>
              <w:left w:val="single" w:color="D9E2F3" w:sz="4" w:space="0"/>
              <w:bottom w:val="single" w:color="D9E2F3" w:sz="4" w:space="0"/>
              <w:right w:val="single" w:color="D9E2F3" w:sz="4" w:space="0"/>
            </w:tcBorders>
            <w:vAlign w:val="center"/>
          </w:tcPr>
          <w:p w14:paraId="4FDE6733">
            <w:pPr>
              <w:spacing w:after="0"/>
            </w:pPr>
            <w:r>
              <w:rPr>
                <w:sz w:val="17"/>
              </w:rPr>
              <w:t>Classifieur MVP</w:t>
            </w:r>
          </w:p>
        </w:tc>
        <w:tc>
          <w:tcPr>
            <w:tcW w:w="2551" w:type="dxa"/>
            <w:tcBorders>
              <w:top w:val="single" w:color="D9E2F3" w:sz="4" w:space="0"/>
              <w:left w:val="single" w:color="D9E2F3" w:sz="4" w:space="0"/>
              <w:bottom w:val="single" w:color="D9E2F3" w:sz="4" w:space="0"/>
              <w:right w:val="single" w:color="D9E2F3" w:sz="4" w:space="0"/>
            </w:tcBorders>
            <w:vAlign w:val="center"/>
          </w:tcPr>
          <w:p w14:paraId="2915667F">
            <w:pPr>
              <w:spacing w:after="0"/>
            </w:pPr>
            <w:r>
              <w:rPr>
                <w:sz w:val="17"/>
              </w:rPr>
              <w:t>Petit MLP + sigmoid</w:t>
            </w:r>
          </w:p>
        </w:tc>
        <w:tc>
          <w:tcPr>
            <w:tcW w:w="4535" w:type="dxa"/>
            <w:tcBorders>
              <w:top w:val="single" w:color="D9E2F3" w:sz="4" w:space="0"/>
              <w:left w:val="single" w:color="D9E2F3" w:sz="4" w:space="0"/>
              <w:bottom w:val="single" w:color="D9E2F3" w:sz="4" w:space="0"/>
              <w:right w:val="single" w:color="D9E2F3" w:sz="4" w:space="0"/>
            </w:tcBorders>
            <w:vAlign w:val="center"/>
          </w:tcPr>
          <w:p w14:paraId="417EC547">
            <w:pPr>
              <w:spacing w:after="0"/>
            </w:pPr>
            <w:r>
              <w:rPr>
                <w:sz w:val="17"/>
              </w:rPr>
              <w:t>Prototype multimodal principal avec score continu.</w:t>
            </w:r>
          </w:p>
        </w:tc>
      </w:tr>
      <w:tr w14:paraId="760C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8240A13">
            <w:pPr>
              <w:spacing w:after="0"/>
            </w:pPr>
            <w:r>
              <w:rPr>
                <w:sz w:val="17"/>
              </w:rPr>
              <w:t>Sortie</w:t>
            </w:r>
          </w:p>
        </w:tc>
        <w:tc>
          <w:tcPr>
            <w:tcW w:w="255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63481D1">
            <w:pPr>
              <w:spacing w:after="0"/>
            </w:pPr>
            <w:r>
              <w:rPr>
                <w:sz w:val="17"/>
              </w:rPr>
              <w:t>Score + seuil + risque + action</w:t>
            </w:r>
          </w:p>
        </w:tc>
        <w:tc>
          <w:tcPr>
            <w:tcW w:w="453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259DF62">
            <w:pPr>
              <w:spacing w:after="0"/>
            </w:pPr>
            <w:r>
              <w:rPr>
                <w:sz w:val="17"/>
              </w:rPr>
              <w:t>Traduction technique du modèle en recommandation lisible.</w:t>
            </w:r>
          </w:p>
        </w:tc>
      </w:tr>
    </w:tbl>
    <w:p w14:paraId="1861E67E"/>
    <w:tbl>
      <w:tblPr>
        <w:tblStyle w:val="35"/>
        <w:tblW w:w="0" w:type="auto"/>
        <w:jc w:val="center"/>
        <w:tblLayout w:type="autofit"/>
        <w:tblCellMar>
          <w:top w:w="0" w:type="dxa"/>
          <w:left w:w="108" w:type="dxa"/>
          <w:bottom w:w="0" w:type="dxa"/>
          <w:right w:w="108" w:type="dxa"/>
        </w:tblCellMar>
      </w:tblPr>
      <w:tblGrid>
        <w:gridCol w:w="10312"/>
      </w:tblGrid>
      <w:tr w14:paraId="732DB4A4">
        <w:tblPrEx>
          <w:tblCellMar>
            <w:top w:w="0" w:type="dxa"/>
            <w:left w:w="108" w:type="dxa"/>
            <w:bottom w:w="0" w:type="dxa"/>
            <w:right w:w="108" w:type="dxa"/>
          </w:tblCellMar>
        </w:tblPrEx>
        <w:trPr>
          <w:jc w:val="center"/>
        </w:trPr>
        <w:tc>
          <w:tcPr>
            <w:tcW w:w="10312" w:type="dxa"/>
            <w:tcBorders>
              <w:top w:val="single" w:color="8EAADB" w:sz="8" w:space="0"/>
              <w:left w:val="single" w:color="8EAADB" w:sz="8" w:space="0"/>
              <w:bottom w:val="single" w:color="8EAADB" w:sz="8" w:space="0"/>
              <w:right w:val="single" w:color="8EAADB" w:sz="8" w:space="0"/>
            </w:tcBorders>
            <w:shd w:val="clear" w:color="auto" w:fill="EAF2F8"/>
          </w:tcPr>
          <w:p w14:paraId="317FA59B">
            <w:r>
              <w:rPr>
                <w:b/>
                <w:color w:val="1F4E79"/>
                <w:sz w:val="18"/>
              </w:rPr>
              <w:t>Schéma logique</w:t>
            </w:r>
          </w:p>
          <w:p w14:paraId="0490725F">
            <w:pPr>
              <w:spacing w:after="0"/>
            </w:pPr>
            <w:r>
              <w:rPr>
                <w:sz w:val="18"/>
              </w:rPr>
              <w:t>Image -&gt; ResNet18 gelé -&gt; vecteur image | Rapport -&gt; TF-IDF -&gt; vecteur texte | Fusion -&gt; Logistic Regression</w:t>
            </w:r>
            <w:r>
              <w:rPr>
                <w:rFonts w:hint="default"/>
                <w:sz w:val="18"/>
                <w:lang w:val="fr-FR"/>
              </w:rPr>
              <w:t xml:space="preserve"> (baseline)</w:t>
            </w:r>
            <w:r>
              <w:rPr>
                <w:sz w:val="18"/>
              </w:rPr>
              <w:t xml:space="preserve"> / MLP</w:t>
            </w:r>
            <w:r>
              <w:rPr>
                <w:rFonts w:hint="default"/>
                <w:sz w:val="18"/>
                <w:lang w:val="fr-FR"/>
              </w:rPr>
              <w:t xml:space="preserve"> (MVP)</w:t>
            </w:r>
            <w:r>
              <w:rPr>
                <w:sz w:val="18"/>
              </w:rPr>
              <w:t xml:space="preserve"> -&gt; score de cohérence</w:t>
            </w:r>
          </w:p>
        </w:tc>
      </w:tr>
    </w:tbl>
    <w:p w14:paraId="0D5DD456"/>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417"/>
        <w:gridCol w:w="1701"/>
        <w:gridCol w:w="2551"/>
      </w:tblGrid>
      <w:tr w14:paraId="7297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474BF3C9">
            <w:pPr>
              <w:spacing w:after="0"/>
            </w:pPr>
            <w:r>
              <w:rPr>
                <w:b/>
                <w:color w:val="FFFFFF"/>
                <w:sz w:val="17"/>
              </w:rPr>
              <w:t>Option</w:t>
            </w:r>
          </w:p>
        </w:tc>
        <w:tc>
          <w:tcPr>
            <w:tcW w:w="1417"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384E3255">
            <w:pPr>
              <w:spacing w:after="0"/>
            </w:pPr>
            <w:r>
              <w:rPr>
                <w:b/>
                <w:color w:val="FFFFFF"/>
                <w:sz w:val="17"/>
              </w:rPr>
              <w:t>Niveau</w:t>
            </w:r>
          </w:p>
        </w:tc>
        <w:tc>
          <w:tcPr>
            <w:tcW w:w="1701"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1315EB0C">
            <w:pPr>
              <w:spacing w:after="0"/>
            </w:pPr>
            <w:r>
              <w:rPr>
                <w:b/>
                <w:color w:val="FFFFFF"/>
                <w:sz w:val="17"/>
              </w:rPr>
              <w:t>Faisabilité</w:t>
            </w:r>
          </w:p>
        </w:tc>
        <w:tc>
          <w:tcPr>
            <w:tcW w:w="2551"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10EF448C">
            <w:pPr>
              <w:spacing w:after="0"/>
            </w:pPr>
            <w:r>
              <w:rPr>
                <w:b/>
                <w:color w:val="FFFFFF"/>
                <w:sz w:val="17"/>
              </w:rPr>
              <w:t>Objectif</w:t>
            </w:r>
          </w:p>
        </w:tc>
      </w:tr>
      <w:tr w14:paraId="173B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D9E2F3" w:sz="4" w:space="0"/>
              <w:left w:val="single" w:color="D9E2F3" w:sz="4" w:space="0"/>
              <w:bottom w:val="single" w:color="D9E2F3" w:sz="4" w:space="0"/>
              <w:right w:val="single" w:color="D9E2F3" w:sz="4" w:space="0"/>
            </w:tcBorders>
            <w:vAlign w:val="center"/>
          </w:tcPr>
          <w:p w14:paraId="79E75AD5">
            <w:pPr>
              <w:spacing w:after="0"/>
            </w:pPr>
            <w:r>
              <w:rPr>
                <w:sz w:val="17"/>
              </w:rPr>
              <w:t>Baseline : ResNet18 gelé + TF-IDF + Logistic Regression</w:t>
            </w:r>
          </w:p>
        </w:tc>
        <w:tc>
          <w:tcPr>
            <w:tcW w:w="1417" w:type="dxa"/>
            <w:tcBorders>
              <w:top w:val="single" w:color="D9E2F3" w:sz="4" w:space="0"/>
              <w:left w:val="single" w:color="D9E2F3" w:sz="4" w:space="0"/>
              <w:bottom w:val="single" w:color="D9E2F3" w:sz="4" w:space="0"/>
              <w:right w:val="single" w:color="D9E2F3" w:sz="4" w:space="0"/>
            </w:tcBorders>
            <w:vAlign w:val="center"/>
          </w:tcPr>
          <w:p w14:paraId="63B62AC0">
            <w:pPr>
              <w:spacing w:after="0"/>
            </w:pPr>
            <w:r>
              <w:rPr>
                <w:sz w:val="17"/>
              </w:rPr>
              <w:t>Facile</w:t>
            </w:r>
          </w:p>
        </w:tc>
        <w:tc>
          <w:tcPr>
            <w:tcW w:w="1701" w:type="dxa"/>
            <w:tcBorders>
              <w:top w:val="single" w:color="D9E2F3" w:sz="4" w:space="0"/>
              <w:left w:val="single" w:color="D9E2F3" w:sz="4" w:space="0"/>
              <w:bottom w:val="single" w:color="D9E2F3" w:sz="4" w:space="0"/>
              <w:right w:val="single" w:color="D9E2F3" w:sz="4" w:space="0"/>
            </w:tcBorders>
            <w:vAlign w:val="center"/>
          </w:tcPr>
          <w:p w14:paraId="78397531">
            <w:pPr>
              <w:spacing w:after="0"/>
            </w:pPr>
            <w:r>
              <w:rPr>
                <w:sz w:val="17"/>
              </w:rPr>
              <w:t>Très élevée</w:t>
            </w:r>
          </w:p>
        </w:tc>
        <w:tc>
          <w:tcPr>
            <w:tcW w:w="2551" w:type="dxa"/>
            <w:tcBorders>
              <w:top w:val="single" w:color="D9E2F3" w:sz="4" w:space="0"/>
              <w:left w:val="single" w:color="D9E2F3" w:sz="4" w:space="0"/>
              <w:bottom w:val="single" w:color="D9E2F3" w:sz="4" w:space="0"/>
              <w:right w:val="single" w:color="D9E2F3" w:sz="4" w:space="0"/>
            </w:tcBorders>
            <w:vAlign w:val="center"/>
          </w:tcPr>
          <w:p w14:paraId="24764162">
            <w:pPr>
              <w:spacing w:after="0"/>
            </w:pPr>
            <w:r>
              <w:rPr>
                <w:sz w:val="17"/>
              </w:rPr>
              <w:t>Point de comparaison minimal multimodal.</w:t>
            </w:r>
          </w:p>
        </w:tc>
      </w:tr>
      <w:tr w14:paraId="5C6B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F3A7C10">
            <w:pPr>
              <w:spacing w:after="0"/>
            </w:pPr>
            <w:r>
              <w:rPr>
                <w:sz w:val="17"/>
              </w:rPr>
              <w:t>MVP : ResNet18 gelé + TF-IDF + petit MLP</w:t>
            </w:r>
          </w:p>
        </w:tc>
        <w:tc>
          <w:tcPr>
            <w:tcW w:w="1417"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8C5A9E7">
            <w:pPr>
              <w:spacing w:after="0"/>
            </w:pPr>
            <w:r>
              <w:rPr>
                <w:sz w:val="17"/>
              </w:rPr>
              <w:t>Moyen</w:t>
            </w:r>
          </w:p>
        </w:tc>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0D85C52">
            <w:pPr>
              <w:spacing w:after="0"/>
            </w:pPr>
            <w:r>
              <w:rPr>
                <w:sz w:val="17"/>
              </w:rPr>
              <w:t>Bonne</w:t>
            </w:r>
          </w:p>
        </w:tc>
        <w:tc>
          <w:tcPr>
            <w:tcW w:w="255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93181E4">
            <w:pPr>
              <w:spacing w:after="0"/>
            </w:pPr>
            <w:r>
              <w:rPr>
                <w:sz w:val="17"/>
              </w:rPr>
              <w:t>Prototype principal à présenter.</w:t>
            </w:r>
          </w:p>
        </w:tc>
      </w:tr>
      <w:tr w14:paraId="4A04B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D9E2F3" w:sz="4" w:space="0"/>
              <w:left w:val="single" w:color="D9E2F3" w:sz="4" w:space="0"/>
              <w:bottom w:val="single" w:color="D9E2F3" w:sz="4" w:space="0"/>
              <w:right w:val="single" w:color="D9E2F3" w:sz="4" w:space="0"/>
            </w:tcBorders>
            <w:vAlign w:val="center"/>
          </w:tcPr>
          <w:p w14:paraId="4906DB8C">
            <w:pPr>
              <w:spacing w:after="0"/>
            </w:pPr>
            <w:r>
              <w:rPr>
                <w:sz w:val="17"/>
              </w:rPr>
              <w:t>Avancé : BioClinicalBERT / sentence-transformers / Grad-CAM</w:t>
            </w:r>
          </w:p>
        </w:tc>
        <w:tc>
          <w:tcPr>
            <w:tcW w:w="1417" w:type="dxa"/>
            <w:tcBorders>
              <w:top w:val="single" w:color="D9E2F3" w:sz="4" w:space="0"/>
              <w:left w:val="single" w:color="D9E2F3" w:sz="4" w:space="0"/>
              <w:bottom w:val="single" w:color="D9E2F3" w:sz="4" w:space="0"/>
              <w:right w:val="single" w:color="D9E2F3" w:sz="4" w:space="0"/>
            </w:tcBorders>
            <w:vAlign w:val="center"/>
          </w:tcPr>
          <w:p w14:paraId="535D9907">
            <w:pPr>
              <w:spacing w:after="0"/>
            </w:pPr>
            <w:r>
              <w:rPr>
                <w:sz w:val="17"/>
              </w:rPr>
              <w:t>Avancé</w:t>
            </w:r>
          </w:p>
        </w:tc>
        <w:tc>
          <w:tcPr>
            <w:tcW w:w="1701" w:type="dxa"/>
            <w:tcBorders>
              <w:top w:val="single" w:color="D9E2F3" w:sz="4" w:space="0"/>
              <w:left w:val="single" w:color="D9E2F3" w:sz="4" w:space="0"/>
              <w:bottom w:val="single" w:color="D9E2F3" w:sz="4" w:space="0"/>
              <w:right w:val="single" w:color="D9E2F3" w:sz="4" w:space="0"/>
            </w:tcBorders>
            <w:vAlign w:val="center"/>
          </w:tcPr>
          <w:p w14:paraId="3A7FD9A7">
            <w:pPr>
              <w:spacing w:after="0"/>
            </w:pPr>
            <w:r>
              <w:rPr>
                <w:sz w:val="17"/>
              </w:rPr>
              <w:t>Moyenne</w:t>
            </w:r>
          </w:p>
        </w:tc>
        <w:tc>
          <w:tcPr>
            <w:tcW w:w="2551" w:type="dxa"/>
            <w:tcBorders>
              <w:top w:val="single" w:color="D9E2F3" w:sz="4" w:space="0"/>
              <w:left w:val="single" w:color="D9E2F3" w:sz="4" w:space="0"/>
              <w:bottom w:val="single" w:color="D9E2F3" w:sz="4" w:space="0"/>
              <w:right w:val="single" w:color="D9E2F3" w:sz="4" w:space="0"/>
            </w:tcBorders>
            <w:vAlign w:val="center"/>
          </w:tcPr>
          <w:p w14:paraId="1952AAEE">
            <w:pPr>
              <w:spacing w:after="0"/>
            </w:pPr>
            <w:r>
              <w:rPr>
                <w:sz w:val="17"/>
              </w:rPr>
              <w:t>À envisager uniquement si le pipeline MVP est validé.</w:t>
            </w:r>
          </w:p>
        </w:tc>
      </w:tr>
    </w:tbl>
    <w:p w14:paraId="6C73AE1C"/>
    <w:p w14:paraId="773BE6F5">
      <w:pPr>
        <w:pStyle w:val="2"/>
      </w:pPr>
      <w:r>
        <w:t>8. Évaluation et métriques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3C8C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78F9C7E5">
            <w:pPr>
              <w:spacing w:after="0"/>
            </w:pPr>
            <w:r>
              <w:rPr>
                <w:b/>
                <w:color w:val="FFFFFF"/>
                <w:sz w:val="17"/>
              </w:rPr>
              <w:t>Métrique</w:t>
            </w:r>
          </w:p>
        </w:tc>
        <w:tc>
          <w:tcPr>
            <w:tcW w:w="6803"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2EE47169">
            <w:pPr>
              <w:spacing w:after="0"/>
            </w:pPr>
            <w:r>
              <w:rPr>
                <w:b/>
                <w:color w:val="FFFFFF"/>
                <w:sz w:val="17"/>
              </w:rPr>
              <w:t>Utilité</w:t>
            </w:r>
          </w:p>
        </w:tc>
      </w:tr>
      <w:tr w14:paraId="69A8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534DB56B">
            <w:pPr>
              <w:spacing w:after="0"/>
            </w:pPr>
            <w:r>
              <w:rPr>
                <w:sz w:val="17"/>
              </w:rPr>
              <w:t>Accuracy</w:t>
            </w:r>
          </w:p>
        </w:tc>
        <w:tc>
          <w:tcPr>
            <w:tcW w:w="6803" w:type="dxa"/>
            <w:tcBorders>
              <w:top w:val="single" w:color="D9E2F3" w:sz="4" w:space="0"/>
              <w:left w:val="single" w:color="D9E2F3" w:sz="4" w:space="0"/>
              <w:bottom w:val="single" w:color="D9E2F3" w:sz="4" w:space="0"/>
              <w:right w:val="single" w:color="D9E2F3" w:sz="4" w:space="0"/>
            </w:tcBorders>
            <w:vAlign w:val="center"/>
          </w:tcPr>
          <w:p w14:paraId="540F5D29">
            <w:pPr>
              <w:spacing w:after="0"/>
            </w:pPr>
            <w:r>
              <w:rPr>
                <w:sz w:val="17"/>
              </w:rPr>
              <w:t>Simple à comprendre, mais insuffisante seule en cas de déséquilibre.</w:t>
            </w:r>
          </w:p>
        </w:tc>
      </w:tr>
      <w:tr w14:paraId="20B5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7388221">
            <w:pPr>
              <w:spacing w:after="0"/>
            </w:pPr>
            <w:r>
              <w:rPr>
                <w:sz w:val="17"/>
              </w:rPr>
              <w:t>Precision incohérence</w:t>
            </w:r>
          </w:p>
        </w:tc>
        <w:tc>
          <w:tcPr>
            <w:tcW w:w="6803"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65503A9">
            <w:pPr>
              <w:spacing w:after="0"/>
            </w:pPr>
            <w:r>
              <w:rPr>
                <w:sz w:val="17"/>
              </w:rPr>
              <w:t>Parmi les alertes générées, proportion réellement incohérente.</w:t>
            </w:r>
          </w:p>
        </w:tc>
      </w:tr>
      <w:tr w14:paraId="5337A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40BCE904">
            <w:pPr>
              <w:spacing w:after="0"/>
            </w:pPr>
            <w:r>
              <w:rPr>
                <w:sz w:val="17"/>
              </w:rPr>
              <w:t>Recall incohérence</w:t>
            </w:r>
          </w:p>
        </w:tc>
        <w:tc>
          <w:tcPr>
            <w:tcW w:w="6803" w:type="dxa"/>
            <w:tcBorders>
              <w:top w:val="single" w:color="D9E2F3" w:sz="4" w:space="0"/>
              <w:left w:val="single" w:color="D9E2F3" w:sz="4" w:space="0"/>
              <w:bottom w:val="single" w:color="D9E2F3" w:sz="4" w:space="0"/>
              <w:right w:val="single" w:color="D9E2F3" w:sz="4" w:space="0"/>
            </w:tcBorders>
            <w:vAlign w:val="center"/>
          </w:tcPr>
          <w:p w14:paraId="50DE1816">
            <w:pPr>
              <w:spacing w:after="0"/>
            </w:pPr>
            <w:r>
              <w:rPr>
                <w:sz w:val="17"/>
              </w:rPr>
              <w:t>Capacité à détecter les incohérences ; métrique prioritaire pour un outil de sécurité.</w:t>
            </w:r>
          </w:p>
        </w:tc>
      </w:tr>
      <w:tr w14:paraId="046D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34A5D93">
            <w:pPr>
              <w:spacing w:after="0"/>
            </w:pPr>
            <w:r>
              <w:rPr>
                <w:sz w:val="17"/>
              </w:rPr>
              <w:t>F1-score</w:t>
            </w:r>
          </w:p>
        </w:tc>
        <w:tc>
          <w:tcPr>
            <w:tcW w:w="6803"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F6A640B">
            <w:pPr>
              <w:spacing w:after="0"/>
            </w:pPr>
            <w:r>
              <w:rPr>
                <w:sz w:val="17"/>
              </w:rPr>
              <w:t>Compromis entre precision et recall.</w:t>
            </w:r>
          </w:p>
        </w:tc>
      </w:tr>
      <w:tr w14:paraId="3668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73A56778">
            <w:pPr>
              <w:spacing w:after="0"/>
            </w:pPr>
            <w:r>
              <w:rPr>
                <w:sz w:val="17"/>
              </w:rPr>
              <w:t>ROC-AUC</w:t>
            </w:r>
          </w:p>
        </w:tc>
        <w:tc>
          <w:tcPr>
            <w:tcW w:w="6803" w:type="dxa"/>
            <w:tcBorders>
              <w:top w:val="single" w:color="D9E2F3" w:sz="4" w:space="0"/>
              <w:left w:val="single" w:color="D9E2F3" w:sz="4" w:space="0"/>
              <w:bottom w:val="single" w:color="D9E2F3" w:sz="4" w:space="0"/>
              <w:right w:val="single" w:color="D9E2F3" w:sz="4" w:space="0"/>
            </w:tcBorders>
            <w:vAlign w:val="center"/>
          </w:tcPr>
          <w:p w14:paraId="7F15C331">
            <w:pPr>
              <w:spacing w:after="0"/>
            </w:pPr>
            <w:r>
              <w:rPr>
                <w:sz w:val="17"/>
              </w:rPr>
              <w:t>Qualité globale du score avant choix du seuil.</w:t>
            </w:r>
          </w:p>
        </w:tc>
      </w:tr>
      <w:tr w14:paraId="3501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695417B">
            <w:pPr>
              <w:spacing w:after="0"/>
            </w:pPr>
            <w:r>
              <w:rPr>
                <w:sz w:val="17"/>
              </w:rPr>
              <w:t>Confusion matrix</w:t>
            </w:r>
          </w:p>
        </w:tc>
        <w:tc>
          <w:tcPr>
            <w:tcW w:w="6803"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FEED3B8">
            <w:pPr>
              <w:spacing w:after="0"/>
            </w:pPr>
            <w:r>
              <w:rPr>
                <w:sz w:val="17"/>
              </w:rPr>
              <w:t>Lecture directe des faux positifs et faux négatifs pour le jury.</w:t>
            </w:r>
          </w:p>
        </w:tc>
      </w:tr>
    </w:tbl>
    <w:p w14:paraId="31A8A38B"/>
    <w:tbl>
      <w:tblPr>
        <w:tblStyle w:val="35"/>
        <w:tblW w:w="0" w:type="auto"/>
        <w:jc w:val="center"/>
        <w:tblLayout w:type="autofit"/>
        <w:tblCellMar>
          <w:top w:w="0" w:type="dxa"/>
          <w:left w:w="108" w:type="dxa"/>
          <w:bottom w:w="0" w:type="dxa"/>
          <w:right w:w="108" w:type="dxa"/>
        </w:tblCellMar>
      </w:tblPr>
      <w:tblGrid>
        <w:gridCol w:w="10312"/>
      </w:tblGrid>
      <w:tr w14:paraId="69708629">
        <w:trPr>
          <w:jc w:val="center"/>
        </w:trPr>
        <w:tc>
          <w:tcPr>
            <w:tcW w:w="10312" w:type="dxa"/>
            <w:tcBorders>
              <w:top w:val="single" w:color="8EAADB" w:sz="8" w:space="0"/>
              <w:left w:val="single" w:color="8EAADB" w:sz="8" w:space="0"/>
              <w:bottom w:val="single" w:color="8EAADB" w:sz="8" w:space="0"/>
              <w:right w:val="single" w:color="8EAADB" w:sz="8" w:space="0"/>
            </w:tcBorders>
            <w:shd w:val="clear" w:color="auto" w:fill="FFF2CC"/>
          </w:tcPr>
          <w:p w14:paraId="0A33DD4A">
            <w:r>
              <w:rPr>
                <w:b/>
                <w:color w:val="1F4E79"/>
                <w:sz w:val="18"/>
              </w:rPr>
              <w:t>Point critique d’évaluation</w:t>
            </w:r>
          </w:p>
          <w:p w14:paraId="7C2B1A22">
            <w:pPr>
              <w:spacing w:after="0"/>
            </w:pPr>
            <w:r>
              <w:rPr>
                <w:sz w:val="18"/>
              </w:rPr>
              <w:t>Le split doit idéalement être réalisé par patient, et pas seulement par image. Sinon, des images d’un même patient peuvent se retrouver à la fois en train et test, ce qui risque de gonfler artificiellement les résultats.</w:t>
            </w:r>
          </w:p>
        </w:tc>
      </w:tr>
    </w:tbl>
    <w:p w14:paraId="45121A32"/>
    <w:p w14:paraId="33C5C24E">
      <w:pPr>
        <w:pStyle w:val="2"/>
      </w:pPr>
      <w:r>
        <w:t>9. Planning projet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102"/>
        <w:gridCol w:w="1701"/>
      </w:tblGrid>
      <w:tr w14:paraId="127C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6043475D">
            <w:pPr>
              <w:spacing w:after="0"/>
            </w:pPr>
            <w:r>
              <w:rPr>
                <w:b/>
                <w:color w:val="FFFFFF"/>
                <w:sz w:val="17"/>
              </w:rPr>
              <w:t>Étape</w:t>
            </w:r>
          </w:p>
        </w:tc>
        <w:tc>
          <w:tcPr>
            <w:tcW w:w="510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DD7C04D">
            <w:pPr>
              <w:spacing w:after="0"/>
            </w:pPr>
            <w:r>
              <w:rPr>
                <w:b/>
                <w:color w:val="FFFFFF"/>
                <w:sz w:val="17"/>
              </w:rPr>
              <w:t>Objectif</w:t>
            </w:r>
          </w:p>
        </w:tc>
        <w:tc>
          <w:tcPr>
            <w:tcW w:w="1701"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58F7692">
            <w:pPr>
              <w:spacing w:after="0"/>
            </w:pPr>
            <w:r>
              <w:rPr>
                <w:b/>
                <w:color w:val="FFFFFF"/>
                <w:sz w:val="17"/>
              </w:rPr>
              <w:t>Deadline</w:t>
            </w:r>
          </w:p>
        </w:tc>
      </w:tr>
      <w:tr w14:paraId="0CB7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0328F530">
            <w:pPr>
              <w:spacing w:after="0"/>
            </w:pPr>
            <w:r>
              <w:rPr>
                <w:sz w:val="17"/>
              </w:rPr>
              <w:t>0. Validation datasets / jointure</w:t>
            </w:r>
          </w:p>
        </w:tc>
        <w:tc>
          <w:tcPr>
            <w:tcW w:w="5102" w:type="dxa"/>
            <w:tcBorders>
              <w:top w:val="single" w:color="D9E2F3" w:sz="4" w:space="0"/>
              <w:left w:val="single" w:color="D9E2F3" w:sz="4" w:space="0"/>
              <w:bottom w:val="single" w:color="D9E2F3" w:sz="4" w:space="0"/>
              <w:right w:val="single" w:color="D9E2F3" w:sz="4" w:space="0"/>
            </w:tcBorders>
            <w:vAlign w:val="center"/>
          </w:tcPr>
          <w:p w14:paraId="0E145B39">
            <w:pPr>
              <w:spacing w:after="0"/>
            </w:pPr>
            <w:r>
              <w:rPr>
                <w:sz w:val="17"/>
              </w:rPr>
              <w:t>Vérifier colonnes, chemins, matching CheXpert Small &lt;-&gt; CheXpert Plus</w:t>
            </w:r>
          </w:p>
        </w:tc>
        <w:tc>
          <w:tcPr>
            <w:tcW w:w="1701" w:type="dxa"/>
            <w:tcBorders>
              <w:top w:val="single" w:color="D9E2F3" w:sz="4" w:space="0"/>
              <w:left w:val="single" w:color="D9E2F3" w:sz="4" w:space="0"/>
              <w:bottom w:val="single" w:color="D9E2F3" w:sz="4" w:space="0"/>
              <w:right w:val="single" w:color="D9E2F3" w:sz="4" w:space="0"/>
            </w:tcBorders>
            <w:vAlign w:val="center"/>
          </w:tcPr>
          <w:p w14:paraId="0840FB2E">
            <w:pPr>
              <w:spacing w:after="0"/>
            </w:pPr>
            <w:r>
              <w:rPr>
                <w:sz w:val="17"/>
              </w:rPr>
              <w:t>20/05</w:t>
            </w:r>
          </w:p>
        </w:tc>
      </w:tr>
      <w:tr w14:paraId="371C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15BCBCD">
            <w:pPr>
              <w:spacing w:after="0"/>
            </w:pPr>
            <w:r>
              <w:rPr>
                <w:sz w:val="17"/>
              </w:rPr>
              <w:t>1. EDA + sous-ensemble exploitable</w:t>
            </w:r>
          </w:p>
        </w:tc>
        <w:tc>
          <w:tcPr>
            <w:tcW w:w="51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4DFB550">
            <w:pPr>
              <w:spacing w:after="0"/>
            </w:pPr>
            <w:r>
              <w:rPr>
                <w:sz w:val="17"/>
              </w:rPr>
              <w:t>Comprendre les données, nettoyer, choisir un subset, documenter le schéma</w:t>
            </w:r>
          </w:p>
        </w:tc>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41C063D">
            <w:pPr>
              <w:spacing w:after="0"/>
            </w:pPr>
            <w:r>
              <w:rPr>
                <w:sz w:val="17"/>
              </w:rPr>
              <w:t>24/05</w:t>
            </w:r>
          </w:p>
        </w:tc>
      </w:tr>
      <w:tr w14:paraId="32B8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0DDA8B97">
            <w:pPr>
              <w:spacing w:after="0"/>
            </w:pPr>
            <w:r>
              <w:rPr>
                <w:sz w:val="17"/>
              </w:rPr>
              <w:t>2. Dataset positif/négatif v1</w:t>
            </w:r>
          </w:p>
        </w:tc>
        <w:tc>
          <w:tcPr>
            <w:tcW w:w="5102" w:type="dxa"/>
            <w:tcBorders>
              <w:top w:val="single" w:color="D9E2F3" w:sz="4" w:space="0"/>
              <w:left w:val="single" w:color="D9E2F3" w:sz="4" w:space="0"/>
              <w:bottom w:val="single" w:color="D9E2F3" w:sz="4" w:space="0"/>
              <w:right w:val="single" w:color="D9E2F3" w:sz="4" w:space="0"/>
            </w:tcBorders>
            <w:vAlign w:val="center"/>
          </w:tcPr>
          <w:p w14:paraId="34FAC205">
            <w:pPr>
              <w:spacing w:after="0"/>
            </w:pPr>
            <w:r>
              <w:rPr>
                <w:sz w:val="17"/>
              </w:rPr>
              <w:t>Créer paires cohérentes/incohérentes, équilibrage, split train/val/test</w:t>
            </w:r>
          </w:p>
        </w:tc>
        <w:tc>
          <w:tcPr>
            <w:tcW w:w="1701" w:type="dxa"/>
            <w:tcBorders>
              <w:top w:val="single" w:color="D9E2F3" w:sz="4" w:space="0"/>
              <w:left w:val="single" w:color="D9E2F3" w:sz="4" w:space="0"/>
              <w:bottom w:val="single" w:color="D9E2F3" w:sz="4" w:space="0"/>
              <w:right w:val="single" w:color="D9E2F3" w:sz="4" w:space="0"/>
            </w:tcBorders>
            <w:vAlign w:val="center"/>
          </w:tcPr>
          <w:p w14:paraId="6D4BFA8F">
            <w:pPr>
              <w:spacing w:after="0"/>
            </w:pPr>
            <w:r>
              <w:rPr>
                <w:sz w:val="17"/>
              </w:rPr>
              <w:t>27/05</w:t>
            </w:r>
          </w:p>
        </w:tc>
      </w:tr>
      <w:tr w14:paraId="0A73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A876521">
            <w:pPr>
              <w:spacing w:after="0"/>
            </w:pPr>
            <w:r>
              <w:rPr>
                <w:sz w:val="17"/>
              </w:rPr>
              <w:t>3. Baseline</w:t>
            </w:r>
          </w:p>
        </w:tc>
        <w:tc>
          <w:tcPr>
            <w:tcW w:w="51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2ABA25C0">
            <w:pPr>
              <w:spacing w:after="0"/>
            </w:pPr>
            <w:r>
              <w:rPr>
                <w:sz w:val="17"/>
              </w:rPr>
              <w:t>ResNet18 gelé + TF-IDF + concaténation + Logistic Regression</w:t>
            </w:r>
          </w:p>
        </w:tc>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BEB2E28">
            <w:pPr>
              <w:spacing w:after="0"/>
            </w:pPr>
            <w:r>
              <w:rPr>
                <w:sz w:val="17"/>
              </w:rPr>
              <w:t>01/06</w:t>
            </w:r>
          </w:p>
        </w:tc>
      </w:tr>
      <w:tr w14:paraId="1C904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1E38B649">
            <w:pPr>
              <w:spacing w:after="0"/>
            </w:pPr>
            <w:r>
              <w:rPr>
                <w:sz w:val="17"/>
              </w:rPr>
              <w:t>4. Pipeline d’entraînement propre</w:t>
            </w:r>
          </w:p>
        </w:tc>
        <w:tc>
          <w:tcPr>
            <w:tcW w:w="5102" w:type="dxa"/>
            <w:tcBorders>
              <w:top w:val="single" w:color="D9E2F3" w:sz="4" w:space="0"/>
              <w:left w:val="single" w:color="D9E2F3" w:sz="4" w:space="0"/>
              <w:bottom w:val="single" w:color="D9E2F3" w:sz="4" w:space="0"/>
              <w:right w:val="single" w:color="D9E2F3" w:sz="4" w:space="0"/>
            </w:tcBorders>
            <w:vAlign w:val="center"/>
          </w:tcPr>
          <w:p w14:paraId="27A2252F">
            <w:pPr>
              <w:spacing w:after="0"/>
            </w:pPr>
            <w:r>
              <w:rPr>
                <w:sz w:val="17"/>
              </w:rPr>
              <w:t>DataLoader, preprocessing image/texte, entraînement reproductible</w:t>
            </w:r>
          </w:p>
        </w:tc>
        <w:tc>
          <w:tcPr>
            <w:tcW w:w="1701" w:type="dxa"/>
            <w:tcBorders>
              <w:top w:val="single" w:color="D9E2F3" w:sz="4" w:space="0"/>
              <w:left w:val="single" w:color="D9E2F3" w:sz="4" w:space="0"/>
              <w:bottom w:val="single" w:color="D9E2F3" w:sz="4" w:space="0"/>
              <w:right w:val="single" w:color="D9E2F3" w:sz="4" w:space="0"/>
            </w:tcBorders>
            <w:vAlign w:val="center"/>
          </w:tcPr>
          <w:p w14:paraId="76737DFB">
            <w:pPr>
              <w:spacing w:after="0"/>
            </w:pPr>
            <w:r>
              <w:rPr>
                <w:sz w:val="17"/>
              </w:rPr>
              <w:t>04/06</w:t>
            </w:r>
          </w:p>
        </w:tc>
      </w:tr>
      <w:tr w14:paraId="16F9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AF8FB40">
            <w:pPr>
              <w:spacing w:after="0"/>
            </w:pPr>
            <w:r>
              <w:rPr>
                <w:sz w:val="17"/>
              </w:rPr>
              <w:t>5. MVP multimodal v1</w:t>
            </w:r>
          </w:p>
        </w:tc>
        <w:tc>
          <w:tcPr>
            <w:tcW w:w="51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B8FD3A9">
            <w:pPr>
              <w:spacing w:after="0"/>
            </w:pPr>
            <w:r>
              <w:rPr>
                <w:sz w:val="17"/>
              </w:rPr>
              <w:t>Petit MLP + premières métriques</w:t>
            </w:r>
          </w:p>
        </w:tc>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14CCC05">
            <w:pPr>
              <w:spacing w:after="0"/>
            </w:pPr>
            <w:r>
              <w:rPr>
                <w:sz w:val="17"/>
              </w:rPr>
              <w:t>08/06</w:t>
            </w:r>
          </w:p>
        </w:tc>
      </w:tr>
      <w:tr w14:paraId="7969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2F1BBB99">
            <w:pPr>
              <w:spacing w:after="0"/>
            </w:pPr>
            <w:r>
              <w:rPr>
                <w:sz w:val="17"/>
              </w:rPr>
              <w:t>6. Amélioration MVP + seuil</w:t>
            </w:r>
          </w:p>
        </w:tc>
        <w:tc>
          <w:tcPr>
            <w:tcW w:w="5102" w:type="dxa"/>
            <w:tcBorders>
              <w:top w:val="single" w:color="D9E2F3" w:sz="4" w:space="0"/>
              <w:left w:val="single" w:color="D9E2F3" w:sz="4" w:space="0"/>
              <w:bottom w:val="single" w:color="D9E2F3" w:sz="4" w:space="0"/>
              <w:right w:val="single" w:color="D9E2F3" w:sz="4" w:space="0"/>
            </w:tcBorders>
            <w:vAlign w:val="center"/>
          </w:tcPr>
          <w:p w14:paraId="7B682399">
            <w:pPr>
              <w:spacing w:after="0"/>
            </w:pPr>
            <w:r>
              <w:rPr>
                <w:sz w:val="17"/>
              </w:rPr>
              <w:t>Comparer baseline/MVP, améliorer paires négatives, choisir seuil</w:t>
            </w:r>
          </w:p>
        </w:tc>
        <w:tc>
          <w:tcPr>
            <w:tcW w:w="1701" w:type="dxa"/>
            <w:tcBorders>
              <w:top w:val="single" w:color="D9E2F3" w:sz="4" w:space="0"/>
              <w:left w:val="single" w:color="D9E2F3" w:sz="4" w:space="0"/>
              <w:bottom w:val="single" w:color="D9E2F3" w:sz="4" w:space="0"/>
              <w:right w:val="single" w:color="D9E2F3" w:sz="4" w:space="0"/>
            </w:tcBorders>
            <w:vAlign w:val="center"/>
          </w:tcPr>
          <w:p w14:paraId="35578606">
            <w:pPr>
              <w:spacing w:after="0"/>
            </w:pPr>
            <w:r>
              <w:rPr>
                <w:sz w:val="17"/>
              </w:rPr>
              <w:t>11/06</w:t>
            </w:r>
          </w:p>
        </w:tc>
      </w:tr>
      <w:tr w14:paraId="7468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B9941F9">
            <w:pPr>
              <w:spacing w:after="0"/>
            </w:pPr>
            <w:r>
              <w:rPr>
                <w:sz w:val="17"/>
              </w:rPr>
              <w:t>7. Interprétation + démo</w:t>
            </w:r>
          </w:p>
        </w:tc>
        <w:tc>
          <w:tcPr>
            <w:tcW w:w="51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9A822CF">
            <w:pPr>
              <w:spacing w:after="0"/>
            </w:pPr>
            <w:r>
              <w:rPr>
                <w:sz w:val="17"/>
              </w:rPr>
              <w:t>Score, risque, action recommandée, éventuellement Grad-CAM simple</w:t>
            </w:r>
          </w:p>
        </w:tc>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E93AA16">
            <w:pPr>
              <w:spacing w:after="0"/>
            </w:pPr>
            <w:r>
              <w:rPr>
                <w:sz w:val="17"/>
              </w:rPr>
              <w:t>14/06</w:t>
            </w:r>
          </w:p>
        </w:tc>
      </w:tr>
      <w:tr w14:paraId="1D08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vAlign w:val="center"/>
          </w:tcPr>
          <w:p w14:paraId="6CBF7B0A">
            <w:pPr>
              <w:spacing w:after="0"/>
            </w:pPr>
            <w:r>
              <w:rPr>
                <w:sz w:val="17"/>
              </w:rPr>
              <w:t>8. Slides + nettoyage final</w:t>
            </w:r>
          </w:p>
        </w:tc>
        <w:tc>
          <w:tcPr>
            <w:tcW w:w="5102" w:type="dxa"/>
            <w:tcBorders>
              <w:top w:val="single" w:color="D9E2F3" w:sz="4" w:space="0"/>
              <w:left w:val="single" w:color="D9E2F3" w:sz="4" w:space="0"/>
              <w:bottom w:val="single" w:color="D9E2F3" w:sz="4" w:space="0"/>
              <w:right w:val="single" w:color="D9E2F3" w:sz="4" w:space="0"/>
            </w:tcBorders>
            <w:vAlign w:val="center"/>
          </w:tcPr>
          <w:p w14:paraId="1E3FC383">
            <w:pPr>
              <w:spacing w:after="0"/>
            </w:pPr>
            <w:r>
              <w:rPr>
                <w:sz w:val="17"/>
              </w:rPr>
              <w:t>Notebooks propres, limites, pitch, répétition</w:t>
            </w:r>
          </w:p>
        </w:tc>
        <w:tc>
          <w:tcPr>
            <w:tcW w:w="1701" w:type="dxa"/>
            <w:tcBorders>
              <w:top w:val="single" w:color="D9E2F3" w:sz="4" w:space="0"/>
              <w:left w:val="single" w:color="D9E2F3" w:sz="4" w:space="0"/>
              <w:bottom w:val="single" w:color="D9E2F3" w:sz="4" w:space="0"/>
              <w:right w:val="single" w:color="D9E2F3" w:sz="4" w:space="0"/>
            </w:tcBorders>
            <w:vAlign w:val="center"/>
          </w:tcPr>
          <w:p w14:paraId="71E4951B">
            <w:pPr>
              <w:spacing w:after="0"/>
            </w:pPr>
            <w:r>
              <w:rPr>
                <w:sz w:val="17"/>
              </w:rPr>
              <w:t>16/06</w:t>
            </w:r>
          </w:p>
        </w:tc>
      </w:tr>
      <w:tr w14:paraId="6078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9F6D5DF">
            <w:pPr>
              <w:spacing w:after="0"/>
            </w:pPr>
            <w:r>
              <w:rPr>
                <w:sz w:val="17"/>
              </w:rPr>
              <w:t>Deadline finale</w:t>
            </w:r>
          </w:p>
        </w:tc>
        <w:tc>
          <w:tcPr>
            <w:tcW w:w="51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3C97E7D">
            <w:pPr>
              <w:spacing w:after="0"/>
            </w:pPr>
            <w:r>
              <w:rPr>
                <w:sz w:val="17"/>
              </w:rPr>
              <w:t>Projet stable et prêt à présenter</w:t>
            </w:r>
          </w:p>
        </w:tc>
        <w:tc>
          <w:tcPr>
            <w:tcW w:w="170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A4B6F49">
            <w:pPr>
              <w:spacing w:after="0"/>
            </w:pPr>
            <w:r>
              <w:rPr>
                <w:sz w:val="17"/>
              </w:rPr>
              <w:t>17/06</w:t>
            </w:r>
          </w:p>
        </w:tc>
      </w:tr>
    </w:tbl>
    <w:p w14:paraId="099DA4F0"/>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402"/>
        <w:gridCol w:w="3402"/>
        <w:gridCol w:w="1134"/>
      </w:tblGrid>
      <w:tr w14:paraId="4B00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679BFC21">
            <w:pPr>
              <w:spacing w:after="0"/>
            </w:pPr>
            <w:r>
              <w:rPr>
                <w:b/>
                <w:color w:val="FFFFFF"/>
                <w:sz w:val="17"/>
              </w:rPr>
              <w:t>Semaine</w:t>
            </w:r>
          </w:p>
        </w:tc>
        <w:tc>
          <w:tcPr>
            <w:tcW w:w="3402"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072FDEFA">
            <w:pPr>
              <w:spacing w:after="0"/>
            </w:pPr>
            <w:r>
              <w:rPr>
                <w:b/>
                <w:color w:val="FFFFFF"/>
                <w:sz w:val="17"/>
              </w:rPr>
              <w:t>Objectif</w:t>
            </w:r>
          </w:p>
        </w:tc>
        <w:tc>
          <w:tcPr>
            <w:tcW w:w="3402"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1A73F3FE">
            <w:pPr>
              <w:spacing w:after="0"/>
            </w:pPr>
            <w:r>
              <w:rPr>
                <w:b/>
                <w:color w:val="FFFFFF"/>
                <w:sz w:val="17"/>
              </w:rPr>
              <w:t>Livrables</w:t>
            </w:r>
          </w:p>
        </w:tc>
        <w:tc>
          <w:tcPr>
            <w:tcW w:w="1134" w:type="dxa"/>
            <w:tcBorders>
              <w:top w:val="single" w:color="D9E2F3" w:sz="4" w:space="0"/>
              <w:left w:val="single" w:color="D9E2F3" w:sz="4" w:space="0"/>
              <w:bottom w:val="single" w:color="D9E2F3" w:sz="4" w:space="0"/>
              <w:right w:val="single" w:color="D9E2F3" w:sz="4" w:space="0"/>
            </w:tcBorders>
            <w:shd w:val="clear" w:color="auto" w:fill="5B9BD5"/>
            <w:vAlign w:val="center"/>
          </w:tcPr>
          <w:p w14:paraId="15728519">
            <w:pPr>
              <w:spacing w:after="0"/>
            </w:pPr>
            <w:r>
              <w:rPr>
                <w:b/>
                <w:color w:val="FFFFFF"/>
                <w:sz w:val="17"/>
              </w:rPr>
              <w:t>Deadline</w:t>
            </w:r>
          </w:p>
        </w:tc>
      </w:tr>
      <w:tr w14:paraId="7C95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D9E2F3" w:sz="4" w:space="0"/>
              <w:left w:val="single" w:color="D9E2F3" w:sz="4" w:space="0"/>
              <w:bottom w:val="single" w:color="D9E2F3" w:sz="4" w:space="0"/>
              <w:right w:val="single" w:color="D9E2F3" w:sz="4" w:space="0"/>
            </w:tcBorders>
            <w:vAlign w:val="center"/>
          </w:tcPr>
          <w:p w14:paraId="479E2619">
            <w:pPr>
              <w:spacing w:after="0"/>
            </w:pPr>
            <w:r>
              <w:rPr>
                <w:sz w:val="17"/>
              </w:rPr>
              <w:t>S1</w:t>
            </w:r>
          </w:p>
        </w:tc>
        <w:tc>
          <w:tcPr>
            <w:tcW w:w="3402" w:type="dxa"/>
            <w:tcBorders>
              <w:top w:val="single" w:color="D9E2F3" w:sz="4" w:space="0"/>
              <w:left w:val="single" w:color="D9E2F3" w:sz="4" w:space="0"/>
              <w:bottom w:val="single" w:color="D9E2F3" w:sz="4" w:space="0"/>
              <w:right w:val="single" w:color="D9E2F3" w:sz="4" w:space="0"/>
            </w:tcBorders>
            <w:vAlign w:val="center"/>
          </w:tcPr>
          <w:p w14:paraId="577139A5">
            <w:pPr>
              <w:spacing w:after="0"/>
            </w:pPr>
            <w:r>
              <w:rPr>
                <w:sz w:val="17"/>
              </w:rPr>
              <w:t>Comprendre les données et réussir l’appariement image/rapport.</w:t>
            </w:r>
          </w:p>
        </w:tc>
        <w:tc>
          <w:tcPr>
            <w:tcW w:w="3402" w:type="dxa"/>
            <w:tcBorders>
              <w:top w:val="single" w:color="D9E2F3" w:sz="4" w:space="0"/>
              <w:left w:val="single" w:color="D9E2F3" w:sz="4" w:space="0"/>
              <w:bottom w:val="single" w:color="D9E2F3" w:sz="4" w:space="0"/>
              <w:right w:val="single" w:color="D9E2F3" w:sz="4" w:space="0"/>
            </w:tcBorders>
            <w:vAlign w:val="center"/>
          </w:tcPr>
          <w:p w14:paraId="4EAEE147">
            <w:pPr>
              <w:spacing w:after="0"/>
            </w:pPr>
            <w:r>
              <w:rPr>
                <w:sz w:val="17"/>
              </w:rPr>
              <w:t>Notebook EDA, schéma de données, dataset positif/négatif v1.</w:t>
            </w:r>
          </w:p>
        </w:tc>
        <w:tc>
          <w:tcPr>
            <w:tcW w:w="1134" w:type="dxa"/>
            <w:tcBorders>
              <w:top w:val="single" w:color="D9E2F3" w:sz="4" w:space="0"/>
              <w:left w:val="single" w:color="D9E2F3" w:sz="4" w:space="0"/>
              <w:bottom w:val="single" w:color="D9E2F3" w:sz="4" w:space="0"/>
              <w:right w:val="single" w:color="D9E2F3" w:sz="4" w:space="0"/>
            </w:tcBorders>
            <w:vAlign w:val="center"/>
          </w:tcPr>
          <w:p w14:paraId="4DB583E3">
            <w:pPr>
              <w:spacing w:after="0"/>
            </w:pPr>
            <w:r>
              <w:rPr>
                <w:sz w:val="17"/>
              </w:rPr>
              <w:t>27/05</w:t>
            </w:r>
          </w:p>
        </w:tc>
      </w:tr>
      <w:tr w14:paraId="0D06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4B5A3EF">
            <w:pPr>
              <w:spacing w:after="0"/>
            </w:pPr>
            <w:r>
              <w:rPr>
                <w:sz w:val="17"/>
              </w:rPr>
              <w:t>S2</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0F2135E">
            <w:pPr>
              <w:spacing w:after="0"/>
            </w:pPr>
            <w:r>
              <w:rPr>
                <w:sz w:val="17"/>
              </w:rPr>
              <w:t>Construire les baselines et le pipeline d’entraînement.</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AD4D7E8">
            <w:pPr>
              <w:spacing w:after="0"/>
            </w:pPr>
            <w:r>
              <w:rPr>
                <w:sz w:val="17"/>
              </w:rPr>
              <w:t>Baseline texte/image si possible, métriques initiales.</w:t>
            </w:r>
          </w:p>
        </w:tc>
        <w:tc>
          <w:tcPr>
            <w:tcW w:w="1134"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F6163A8">
            <w:pPr>
              <w:spacing w:after="0"/>
            </w:pPr>
            <w:r>
              <w:rPr>
                <w:sz w:val="17"/>
              </w:rPr>
              <w:t>04/06</w:t>
            </w:r>
          </w:p>
        </w:tc>
      </w:tr>
      <w:tr w14:paraId="23B0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D9E2F3" w:sz="4" w:space="0"/>
              <w:left w:val="single" w:color="D9E2F3" w:sz="4" w:space="0"/>
              <w:bottom w:val="single" w:color="D9E2F3" w:sz="4" w:space="0"/>
              <w:right w:val="single" w:color="D9E2F3" w:sz="4" w:space="0"/>
            </w:tcBorders>
            <w:vAlign w:val="center"/>
          </w:tcPr>
          <w:p w14:paraId="606F34A8">
            <w:pPr>
              <w:spacing w:after="0"/>
            </w:pPr>
            <w:r>
              <w:rPr>
                <w:sz w:val="17"/>
              </w:rPr>
              <w:t>S3</w:t>
            </w:r>
          </w:p>
        </w:tc>
        <w:tc>
          <w:tcPr>
            <w:tcW w:w="3402" w:type="dxa"/>
            <w:tcBorders>
              <w:top w:val="single" w:color="D9E2F3" w:sz="4" w:space="0"/>
              <w:left w:val="single" w:color="D9E2F3" w:sz="4" w:space="0"/>
              <w:bottom w:val="single" w:color="D9E2F3" w:sz="4" w:space="0"/>
              <w:right w:val="single" w:color="D9E2F3" w:sz="4" w:space="0"/>
            </w:tcBorders>
            <w:vAlign w:val="center"/>
          </w:tcPr>
          <w:p w14:paraId="4E5E2255">
            <w:pPr>
              <w:spacing w:after="0"/>
            </w:pPr>
            <w:r>
              <w:rPr>
                <w:sz w:val="17"/>
              </w:rPr>
              <w:t>Construire le MVP multimodal et améliorer les paires négatives.</w:t>
            </w:r>
          </w:p>
        </w:tc>
        <w:tc>
          <w:tcPr>
            <w:tcW w:w="3402" w:type="dxa"/>
            <w:tcBorders>
              <w:top w:val="single" w:color="D9E2F3" w:sz="4" w:space="0"/>
              <w:left w:val="single" w:color="D9E2F3" w:sz="4" w:space="0"/>
              <w:bottom w:val="single" w:color="D9E2F3" w:sz="4" w:space="0"/>
              <w:right w:val="single" w:color="D9E2F3" w:sz="4" w:space="0"/>
            </w:tcBorders>
            <w:vAlign w:val="center"/>
          </w:tcPr>
          <w:p w14:paraId="2CE80B03">
            <w:pPr>
              <w:spacing w:after="0"/>
            </w:pPr>
            <w:r>
              <w:rPr>
                <w:sz w:val="17"/>
              </w:rPr>
              <w:t>Modèle multimodal, comparaison baselines, seuil de décision.</w:t>
            </w:r>
          </w:p>
        </w:tc>
        <w:tc>
          <w:tcPr>
            <w:tcW w:w="1134" w:type="dxa"/>
            <w:tcBorders>
              <w:top w:val="single" w:color="D9E2F3" w:sz="4" w:space="0"/>
              <w:left w:val="single" w:color="D9E2F3" w:sz="4" w:space="0"/>
              <w:bottom w:val="single" w:color="D9E2F3" w:sz="4" w:space="0"/>
              <w:right w:val="single" w:color="D9E2F3" w:sz="4" w:space="0"/>
            </w:tcBorders>
            <w:vAlign w:val="center"/>
          </w:tcPr>
          <w:p w14:paraId="7849D91C">
            <w:pPr>
              <w:spacing w:after="0"/>
            </w:pPr>
            <w:r>
              <w:rPr>
                <w:sz w:val="17"/>
              </w:rPr>
              <w:t>11/06</w:t>
            </w:r>
          </w:p>
        </w:tc>
      </w:tr>
      <w:tr w14:paraId="7FF7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3458797D">
            <w:pPr>
              <w:spacing w:after="0"/>
            </w:pPr>
            <w:r>
              <w:rPr>
                <w:sz w:val="17"/>
              </w:rPr>
              <w:t>S4</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70106CB">
            <w:pPr>
              <w:spacing w:after="0"/>
            </w:pPr>
            <w:r>
              <w:rPr>
                <w:sz w:val="17"/>
              </w:rPr>
              <w:t>Stabiliser, interpréter, préparer la démo et la présentation.</w:t>
            </w:r>
          </w:p>
        </w:tc>
        <w:tc>
          <w:tcPr>
            <w:tcW w:w="3402"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43C71A19">
            <w:pPr>
              <w:spacing w:after="0"/>
            </w:pPr>
            <w:r>
              <w:rPr>
                <w:sz w:val="17"/>
              </w:rPr>
              <w:t>Notebook propre, matrice de confusion, slides, démo, limites.</w:t>
            </w:r>
          </w:p>
        </w:tc>
        <w:tc>
          <w:tcPr>
            <w:tcW w:w="1134"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D6AEF4E">
            <w:pPr>
              <w:spacing w:after="0"/>
            </w:pPr>
            <w:r>
              <w:rPr>
                <w:sz w:val="17"/>
              </w:rPr>
              <w:t>17/06</w:t>
            </w:r>
          </w:p>
        </w:tc>
      </w:tr>
    </w:tbl>
    <w:p w14:paraId="49207257"/>
    <w:p w14:paraId="577F4BA9">
      <w:pPr>
        <w:pStyle w:val="2"/>
      </w:pPr>
      <w:r>
        <w:t>10. Risques, limites et parades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835"/>
        <w:gridCol w:w="3685"/>
      </w:tblGrid>
      <w:tr w14:paraId="4CD7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D9E2F3" w:sz="4" w:space="0"/>
              <w:left w:val="single" w:color="D9E2F3" w:sz="4" w:space="0"/>
              <w:bottom w:val="single" w:color="D9E2F3" w:sz="4" w:space="0"/>
              <w:right w:val="single" w:color="D9E2F3" w:sz="4" w:space="0"/>
            </w:tcBorders>
            <w:shd w:val="clear" w:color="auto" w:fill="C00000"/>
            <w:vAlign w:val="center"/>
          </w:tcPr>
          <w:p w14:paraId="46C5CB5C">
            <w:pPr>
              <w:spacing w:after="0"/>
            </w:pPr>
            <w:r>
              <w:rPr>
                <w:b/>
                <w:color w:val="FFFFFF"/>
                <w:sz w:val="17"/>
              </w:rPr>
              <w:t>Risque</w:t>
            </w:r>
          </w:p>
        </w:tc>
        <w:tc>
          <w:tcPr>
            <w:tcW w:w="2835" w:type="dxa"/>
            <w:tcBorders>
              <w:top w:val="single" w:color="D9E2F3" w:sz="4" w:space="0"/>
              <w:left w:val="single" w:color="D9E2F3" w:sz="4" w:space="0"/>
              <w:bottom w:val="single" w:color="D9E2F3" w:sz="4" w:space="0"/>
              <w:right w:val="single" w:color="D9E2F3" w:sz="4" w:space="0"/>
            </w:tcBorders>
            <w:shd w:val="clear" w:color="auto" w:fill="C00000"/>
            <w:vAlign w:val="center"/>
          </w:tcPr>
          <w:p w14:paraId="42C61333">
            <w:pPr>
              <w:spacing w:after="0"/>
            </w:pPr>
            <w:r>
              <w:rPr>
                <w:b/>
                <w:color w:val="FFFFFF"/>
                <w:sz w:val="17"/>
              </w:rPr>
              <w:t>Impact</w:t>
            </w:r>
          </w:p>
        </w:tc>
        <w:tc>
          <w:tcPr>
            <w:tcW w:w="3685" w:type="dxa"/>
            <w:tcBorders>
              <w:top w:val="single" w:color="D9E2F3" w:sz="4" w:space="0"/>
              <w:left w:val="single" w:color="D9E2F3" w:sz="4" w:space="0"/>
              <w:bottom w:val="single" w:color="D9E2F3" w:sz="4" w:space="0"/>
              <w:right w:val="single" w:color="D9E2F3" w:sz="4" w:space="0"/>
            </w:tcBorders>
            <w:shd w:val="clear" w:color="auto" w:fill="C00000"/>
            <w:vAlign w:val="center"/>
          </w:tcPr>
          <w:p w14:paraId="25A39F4A">
            <w:pPr>
              <w:spacing w:after="0"/>
            </w:pPr>
            <w:r>
              <w:rPr>
                <w:b/>
                <w:color w:val="FFFFFF"/>
                <w:sz w:val="17"/>
              </w:rPr>
              <w:t>Parade</w:t>
            </w:r>
          </w:p>
        </w:tc>
      </w:tr>
      <w:tr w14:paraId="4D62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D9E2F3" w:sz="4" w:space="0"/>
              <w:left w:val="single" w:color="D9E2F3" w:sz="4" w:space="0"/>
              <w:bottom w:val="single" w:color="D9E2F3" w:sz="4" w:space="0"/>
              <w:right w:val="single" w:color="D9E2F3" w:sz="4" w:space="0"/>
            </w:tcBorders>
            <w:vAlign w:val="center"/>
          </w:tcPr>
          <w:p w14:paraId="4D05BFA2">
            <w:pPr>
              <w:spacing w:after="0"/>
            </w:pPr>
            <w:r>
              <w:rPr>
                <w:sz w:val="17"/>
              </w:rPr>
              <w:t>Jointure image/rapport non fiable</w:t>
            </w:r>
          </w:p>
        </w:tc>
        <w:tc>
          <w:tcPr>
            <w:tcW w:w="2835" w:type="dxa"/>
            <w:tcBorders>
              <w:top w:val="single" w:color="D9E2F3" w:sz="4" w:space="0"/>
              <w:left w:val="single" w:color="D9E2F3" w:sz="4" w:space="0"/>
              <w:bottom w:val="single" w:color="D9E2F3" w:sz="4" w:space="0"/>
              <w:right w:val="single" w:color="D9E2F3" w:sz="4" w:space="0"/>
            </w:tcBorders>
            <w:vAlign w:val="center"/>
          </w:tcPr>
          <w:p w14:paraId="7D09031C">
            <w:pPr>
              <w:spacing w:after="0"/>
            </w:pPr>
            <w:r>
              <w:rPr>
                <w:sz w:val="17"/>
              </w:rPr>
              <w:t>Projet multimodal fragilisé</w:t>
            </w:r>
          </w:p>
        </w:tc>
        <w:tc>
          <w:tcPr>
            <w:tcW w:w="3685" w:type="dxa"/>
            <w:tcBorders>
              <w:top w:val="single" w:color="D9E2F3" w:sz="4" w:space="0"/>
              <w:left w:val="single" w:color="D9E2F3" w:sz="4" w:space="0"/>
              <w:bottom w:val="single" w:color="D9E2F3" w:sz="4" w:space="0"/>
              <w:right w:val="single" w:color="D9E2F3" w:sz="4" w:space="0"/>
            </w:tcBorders>
            <w:vAlign w:val="center"/>
          </w:tcPr>
          <w:p w14:paraId="6D381A70">
            <w:pPr>
              <w:spacing w:after="0"/>
            </w:pPr>
            <w:r>
              <w:rPr>
                <w:sz w:val="17"/>
              </w:rPr>
              <w:t>Validation manuelle d’échantillons + taux de matching documenté.</w:t>
            </w:r>
          </w:p>
        </w:tc>
      </w:tr>
      <w:tr w14:paraId="5A09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948043F">
            <w:pPr>
              <w:spacing w:after="0"/>
            </w:pPr>
            <w:r>
              <w:rPr>
                <w:sz w:val="17"/>
              </w:rPr>
              <w:t>Dataset trop volumineux</w:t>
            </w:r>
          </w:p>
        </w:tc>
        <w:tc>
          <w:tcPr>
            <w:tcW w:w="283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6747C85D">
            <w:pPr>
              <w:spacing w:after="0"/>
            </w:pPr>
            <w:r>
              <w:rPr>
                <w:sz w:val="17"/>
              </w:rPr>
              <w:t>Temps de calcul incompatible avec le planning</w:t>
            </w:r>
          </w:p>
        </w:tc>
        <w:tc>
          <w:tcPr>
            <w:tcW w:w="368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0AF7CA53">
            <w:pPr>
              <w:spacing w:after="0"/>
            </w:pPr>
            <w:r>
              <w:rPr>
                <w:sz w:val="17"/>
              </w:rPr>
              <w:t>Sous-ensemble MVP maîtrisé et reproductible.</w:t>
            </w:r>
          </w:p>
        </w:tc>
      </w:tr>
      <w:tr w14:paraId="4AEC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D9E2F3" w:sz="4" w:space="0"/>
              <w:left w:val="single" w:color="D9E2F3" w:sz="4" w:space="0"/>
              <w:bottom w:val="single" w:color="D9E2F3" w:sz="4" w:space="0"/>
              <w:right w:val="single" w:color="D9E2F3" w:sz="4" w:space="0"/>
            </w:tcBorders>
            <w:vAlign w:val="center"/>
          </w:tcPr>
          <w:p w14:paraId="2157029B">
            <w:pPr>
              <w:spacing w:after="0"/>
            </w:pPr>
            <w:r>
              <w:rPr>
                <w:sz w:val="17"/>
              </w:rPr>
              <w:t>Négatifs trop faciles</w:t>
            </w:r>
          </w:p>
        </w:tc>
        <w:tc>
          <w:tcPr>
            <w:tcW w:w="2835" w:type="dxa"/>
            <w:tcBorders>
              <w:top w:val="single" w:color="D9E2F3" w:sz="4" w:space="0"/>
              <w:left w:val="single" w:color="D9E2F3" w:sz="4" w:space="0"/>
              <w:bottom w:val="single" w:color="D9E2F3" w:sz="4" w:space="0"/>
              <w:right w:val="single" w:color="D9E2F3" w:sz="4" w:space="0"/>
            </w:tcBorders>
            <w:vAlign w:val="center"/>
          </w:tcPr>
          <w:p w14:paraId="3FE5F14D">
            <w:pPr>
              <w:spacing w:after="0"/>
            </w:pPr>
            <w:r>
              <w:rPr>
                <w:sz w:val="17"/>
              </w:rPr>
              <w:t>Modèle performant artificiellement</w:t>
            </w:r>
          </w:p>
        </w:tc>
        <w:tc>
          <w:tcPr>
            <w:tcW w:w="3685" w:type="dxa"/>
            <w:tcBorders>
              <w:top w:val="single" w:color="D9E2F3" w:sz="4" w:space="0"/>
              <w:left w:val="single" w:color="D9E2F3" w:sz="4" w:space="0"/>
              <w:bottom w:val="single" w:color="D9E2F3" w:sz="4" w:space="0"/>
              <w:right w:val="single" w:color="D9E2F3" w:sz="4" w:space="0"/>
            </w:tcBorders>
            <w:vAlign w:val="center"/>
          </w:tcPr>
          <w:p w14:paraId="2F18CB2E">
            <w:pPr>
              <w:spacing w:after="0"/>
            </w:pPr>
            <w:r>
              <w:rPr>
                <w:sz w:val="17"/>
              </w:rPr>
              <w:t>Version v2 avec négatifs plus subtils et contrôlés.</w:t>
            </w:r>
          </w:p>
        </w:tc>
      </w:tr>
      <w:tr w14:paraId="63CF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5F4775AB">
            <w:pPr>
              <w:spacing w:after="0"/>
            </w:pPr>
            <w:r>
              <w:rPr>
                <w:sz w:val="17"/>
              </w:rPr>
              <w:t>Fuite patient train/test</w:t>
            </w:r>
          </w:p>
        </w:tc>
        <w:tc>
          <w:tcPr>
            <w:tcW w:w="283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189964B6">
            <w:pPr>
              <w:spacing w:after="0"/>
            </w:pPr>
            <w:r>
              <w:rPr>
                <w:sz w:val="17"/>
              </w:rPr>
              <w:t>Métriques artificiellement élevées</w:t>
            </w:r>
          </w:p>
        </w:tc>
        <w:tc>
          <w:tcPr>
            <w:tcW w:w="368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7E14C6F">
            <w:pPr>
              <w:spacing w:after="0"/>
            </w:pPr>
            <w:r>
              <w:rPr>
                <w:sz w:val="17"/>
              </w:rPr>
              <w:t>Split par patient lorsque les identifiants le permettent.</w:t>
            </w:r>
          </w:p>
        </w:tc>
      </w:tr>
      <w:tr w14:paraId="7BF2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D9E2F3" w:sz="4" w:space="0"/>
              <w:left w:val="single" w:color="D9E2F3" w:sz="4" w:space="0"/>
              <w:bottom w:val="single" w:color="D9E2F3" w:sz="4" w:space="0"/>
              <w:right w:val="single" w:color="D9E2F3" w:sz="4" w:space="0"/>
            </w:tcBorders>
            <w:vAlign w:val="center"/>
          </w:tcPr>
          <w:p w14:paraId="3258865D">
            <w:pPr>
              <w:spacing w:after="0"/>
            </w:pPr>
            <w:r>
              <w:rPr>
                <w:sz w:val="17"/>
              </w:rPr>
              <w:t>Complexité excessive</w:t>
            </w:r>
          </w:p>
        </w:tc>
        <w:tc>
          <w:tcPr>
            <w:tcW w:w="2835" w:type="dxa"/>
            <w:tcBorders>
              <w:top w:val="single" w:color="D9E2F3" w:sz="4" w:space="0"/>
              <w:left w:val="single" w:color="D9E2F3" w:sz="4" w:space="0"/>
              <w:bottom w:val="single" w:color="D9E2F3" w:sz="4" w:space="0"/>
              <w:right w:val="single" w:color="D9E2F3" w:sz="4" w:space="0"/>
            </w:tcBorders>
            <w:vAlign w:val="center"/>
          </w:tcPr>
          <w:p w14:paraId="7A54A407">
            <w:pPr>
              <w:spacing w:after="0"/>
            </w:pPr>
            <w:r>
              <w:rPr>
                <w:sz w:val="17"/>
              </w:rPr>
              <w:t>Risque de ne pas livrer</w:t>
            </w:r>
          </w:p>
        </w:tc>
        <w:tc>
          <w:tcPr>
            <w:tcW w:w="3685" w:type="dxa"/>
            <w:tcBorders>
              <w:top w:val="single" w:color="D9E2F3" w:sz="4" w:space="0"/>
              <w:left w:val="single" w:color="D9E2F3" w:sz="4" w:space="0"/>
              <w:bottom w:val="single" w:color="D9E2F3" w:sz="4" w:space="0"/>
              <w:right w:val="single" w:color="D9E2F3" w:sz="4" w:space="0"/>
            </w:tcBorders>
            <w:vAlign w:val="center"/>
          </w:tcPr>
          <w:p w14:paraId="0101E766">
            <w:pPr>
              <w:spacing w:after="0"/>
            </w:pPr>
            <w:r>
              <w:rPr>
                <w:sz w:val="17"/>
              </w:rPr>
              <w:t>Priorité au pipeline complet avant les modèles avancés.</w:t>
            </w:r>
          </w:p>
        </w:tc>
      </w:tr>
      <w:tr w14:paraId="4ECC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90B21AF">
            <w:pPr>
              <w:spacing w:after="0"/>
            </w:pPr>
            <w:r>
              <w:rPr>
                <w:sz w:val="17"/>
              </w:rPr>
              <w:t>Interprétation faible</w:t>
            </w:r>
          </w:p>
        </w:tc>
        <w:tc>
          <w:tcPr>
            <w:tcW w:w="283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7EE5F112">
            <w:pPr>
              <w:spacing w:after="0"/>
            </w:pPr>
            <w:r>
              <w:rPr>
                <w:sz w:val="17"/>
              </w:rPr>
              <w:t>Démo moins convaincante</w:t>
            </w:r>
          </w:p>
        </w:tc>
        <w:tc>
          <w:tcPr>
            <w:tcW w:w="3685" w:type="dxa"/>
            <w:tcBorders>
              <w:top w:val="single" w:color="D9E2F3" w:sz="4" w:space="0"/>
              <w:left w:val="single" w:color="D9E2F3" w:sz="4" w:space="0"/>
              <w:bottom w:val="single" w:color="D9E2F3" w:sz="4" w:space="0"/>
              <w:right w:val="single" w:color="D9E2F3" w:sz="4" w:space="0"/>
            </w:tcBorders>
            <w:shd w:val="clear" w:color="auto" w:fill="F8FBFF"/>
            <w:vAlign w:val="center"/>
          </w:tcPr>
          <w:p w14:paraId="2169F6EC">
            <w:pPr>
              <w:spacing w:after="0"/>
            </w:pPr>
            <w:r>
              <w:rPr>
                <w:sz w:val="17"/>
              </w:rPr>
              <w:t>Ajouter Grad-CAM ou indices textuels seulement après stabilisation du MVP.</w:t>
            </w:r>
          </w:p>
        </w:tc>
      </w:tr>
    </w:tbl>
    <w:p w14:paraId="5A85B21F"/>
    <w:p w14:paraId="637529BD">
      <w:pPr>
        <w:pStyle w:val="2"/>
      </w:pPr>
      <w:r>
        <w:t>11. Prochaines étapes immédiates</w:t>
      </w:r>
    </w:p>
    <w:p w14:paraId="66F28427">
      <w:pPr>
        <w:pStyle w:val="3"/>
      </w:pPr>
      <w:r>
        <w:t>11.1 Validation technique datasets / jointure - deadline 20/05</w:t>
      </w:r>
    </w:p>
    <w:p w14:paraId="665E7ECE">
      <w:r>
        <w:t>Objectif : valider la faisabilité technique du dataset multimodal radiographie &lt;-&gt; compte-rendu médical à partir de CheXpert Small et CheXpert Plus.</w:t>
      </w:r>
    </w:p>
    <w:p w14:paraId="58EEA51E">
      <w:pPr>
        <w:pStyle w:val="33"/>
      </w:pPr>
      <w:r>
        <w:t>Vérifier les versions des datasets utilisés.</w:t>
      </w:r>
    </w:p>
    <w:p w14:paraId="49FBEFB8">
      <w:pPr>
        <w:pStyle w:val="33"/>
      </w:pPr>
      <w:r>
        <w:t>Contrôler les colonnes critiques.</w:t>
      </w:r>
    </w:p>
    <w:p w14:paraId="0B1853EB">
      <w:pPr>
        <w:pStyle w:val="33"/>
      </w:pPr>
      <w:r>
        <w:t>Valider la jointure Path &lt;-&gt; path_to_image.</w:t>
      </w:r>
    </w:p>
    <w:p w14:paraId="1397AAF7">
      <w:pPr>
        <w:pStyle w:val="33"/>
      </w:pPr>
      <w:r>
        <w:t>Calculer le taux de matching.</w:t>
      </w:r>
    </w:p>
    <w:p w14:paraId="03914161">
      <w:pPr>
        <w:pStyle w:val="33"/>
      </w:pPr>
      <w:r>
        <w:t>Contrôler manuellement plusieurs exemples.</w:t>
      </w:r>
    </w:p>
    <w:p w14:paraId="2D4D81F3">
      <w:pPr>
        <w:pStyle w:val="33"/>
      </w:pPr>
      <w:r>
        <w:t>Définir le sous-ensemble MVP : nombre de lignes, patients et studies.</w:t>
      </w:r>
    </w:p>
    <w:p w14:paraId="33C1F9BB">
      <w:pPr>
        <w:pStyle w:val="33"/>
      </w:pPr>
      <w:r>
        <w:t>Produire une décision GO / NO-GO.</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18FC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Borders>
              <w:top w:val="single" w:color="D9E2F3" w:sz="4" w:space="0"/>
              <w:left w:val="single" w:color="D9E2F3" w:sz="4" w:space="0"/>
              <w:bottom w:val="single" w:color="D9E2F3" w:sz="4" w:space="0"/>
              <w:right w:val="single" w:color="D9E2F3" w:sz="4" w:space="0"/>
            </w:tcBorders>
            <w:shd w:val="clear" w:color="auto" w:fill="70AD47"/>
            <w:vAlign w:val="center"/>
          </w:tcPr>
          <w:p w14:paraId="5D5B6CD8">
            <w:pPr>
              <w:spacing w:after="0"/>
            </w:pPr>
            <w:r>
              <w:rPr>
                <w:b/>
                <w:color w:val="FFFFFF"/>
                <w:sz w:val="17"/>
              </w:rPr>
              <w:t>GO</w:t>
            </w:r>
          </w:p>
        </w:tc>
        <w:tc>
          <w:tcPr>
            <w:tcW w:w="4535" w:type="dxa"/>
            <w:tcBorders>
              <w:top w:val="single" w:color="D9E2F3" w:sz="4" w:space="0"/>
              <w:left w:val="single" w:color="D9E2F3" w:sz="4" w:space="0"/>
              <w:bottom w:val="single" w:color="D9E2F3" w:sz="4" w:space="0"/>
              <w:right w:val="single" w:color="D9E2F3" w:sz="4" w:space="0"/>
            </w:tcBorders>
            <w:shd w:val="clear" w:color="auto" w:fill="70AD47"/>
            <w:vAlign w:val="center"/>
          </w:tcPr>
          <w:p w14:paraId="684153F4">
            <w:pPr>
              <w:spacing w:after="0"/>
            </w:pPr>
            <w:r>
              <w:rPr>
                <w:b/>
                <w:color w:val="FFFFFF"/>
                <w:sz w:val="17"/>
              </w:rPr>
              <w:t>NO-GO</w:t>
            </w:r>
          </w:p>
        </w:tc>
      </w:tr>
      <w:tr w14:paraId="1AD6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Borders>
              <w:top w:val="single" w:color="D9E2F3" w:sz="4" w:space="0"/>
              <w:left w:val="single" w:color="D9E2F3" w:sz="4" w:space="0"/>
              <w:bottom w:val="single" w:color="D9E2F3" w:sz="4" w:space="0"/>
              <w:right w:val="single" w:color="D9E2F3" w:sz="4" w:space="0"/>
            </w:tcBorders>
            <w:vAlign w:val="center"/>
          </w:tcPr>
          <w:p w14:paraId="3997B2EB">
            <w:pPr>
              <w:spacing w:after="0"/>
            </w:pPr>
            <w:r>
              <w:rPr>
                <w:sz w:val="17"/>
              </w:rPr>
              <w:t>Jointure fiable ; données exploitables ; volume compatible avec les ressources et délais.</w:t>
            </w:r>
          </w:p>
        </w:tc>
        <w:tc>
          <w:tcPr>
            <w:tcW w:w="4535" w:type="dxa"/>
            <w:tcBorders>
              <w:top w:val="single" w:color="D9E2F3" w:sz="4" w:space="0"/>
              <w:left w:val="single" w:color="D9E2F3" w:sz="4" w:space="0"/>
              <w:bottom w:val="single" w:color="D9E2F3" w:sz="4" w:space="0"/>
              <w:right w:val="single" w:color="D9E2F3" w:sz="4" w:space="0"/>
            </w:tcBorders>
            <w:vAlign w:val="center"/>
          </w:tcPr>
          <w:p w14:paraId="028A460E">
            <w:pPr>
              <w:spacing w:after="0"/>
            </w:pPr>
            <w:r>
              <w:rPr>
                <w:sz w:val="17"/>
              </w:rPr>
              <w:t>Jointure non fiable ; données insuffisantes ou incohérentes ; volume non exploitable dans le cadre du projet.</w:t>
            </w:r>
          </w:p>
        </w:tc>
      </w:tr>
    </w:tbl>
    <w:p w14:paraId="0B310D56"/>
    <w:p w14:paraId="6F746038">
      <w:pPr>
        <w:pStyle w:val="3"/>
      </w:pPr>
      <w:r>
        <w:t>11.2 EDA initiale du dataset fusionné - deadline 24/05</w:t>
      </w:r>
    </w:p>
    <w:p w14:paraId="55E5F2BB">
      <w:r>
        <w:t>Cette étape sera lancée uniquement après validation GO de l’étape précédente.</w:t>
      </w:r>
    </w:p>
    <w:p w14:paraId="38738EAC">
      <w:pPr>
        <w:pStyle w:val="33"/>
      </w:pPr>
      <w:r>
        <w:t>Mesurer le nombre d’images, rapports, patients, studies et paires exploitables.</w:t>
      </w:r>
    </w:p>
    <w:p w14:paraId="4A07A6FB">
      <w:pPr>
        <w:pStyle w:val="33"/>
      </w:pPr>
      <w:r>
        <w:t>Analyser les rapports médicaux : longueurs, valeurs manquantes, textes vides, exemples.</w:t>
      </w:r>
    </w:p>
    <w:p w14:paraId="328B5F61">
      <w:pPr>
        <w:pStyle w:val="33"/>
      </w:pPr>
      <w:r>
        <w:t>Identifier les principales pathologies ou labels disponibles.</w:t>
      </w:r>
    </w:p>
    <w:p w14:paraId="5173A2B8">
      <w:pPr>
        <w:pStyle w:val="33"/>
      </w:pPr>
      <w:r>
        <w:t>Repérer les anomalies : doublons, incohérences de chemins, rapports manquants, images sans rapport.</w:t>
      </w:r>
    </w:p>
    <w:p w14:paraId="06FCE5A7">
      <w:pPr>
        <w:pStyle w:val="33"/>
      </w:pPr>
      <w:r>
        <w:t>Définir et documenter le sous-ensemble utilisable pour le MVP.</w:t>
      </w:r>
    </w:p>
    <w:p w14:paraId="483482A4">
      <w:pPr>
        <w:pStyle w:val="2"/>
      </w:pPr>
      <w:r>
        <w:t>12. Questions à trancher</w:t>
      </w:r>
    </w:p>
    <w:p w14:paraId="23473EBD">
      <w:pPr>
        <w:pStyle w:val="3"/>
      </w:pPr>
      <w:r>
        <w:rPr>
          <w:rFonts w:hint="default"/>
          <w:lang w:val="fr-FR"/>
        </w:rPr>
        <w:t>12.1</w:t>
      </w:r>
      <w:r>
        <w:t>. Données &amp; périmètre du dataset</w:t>
      </w:r>
    </w:p>
    <w:p w14:paraId="6519B301">
      <w:pPr>
        <w:pStyle w:val="33"/>
      </w:pPr>
      <w:r>
        <w:t>Quelle taille de dataset est réaliste pour un MVP faisable dans les délais ?</w:t>
      </w:r>
      <w:r>
        <w:rPr>
          <w:rFonts w:hint="default"/>
          <w:lang w:val="fr-FR"/>
        </w:rPr>
        <w:t xml:space="preserve"> </w:t>
      </w:r>
      <w:r>
        <w:t>On vise combien de patients différents au total ?</w:t>
      </w:r>
    </w:p>
    <w:p w14:paraId="5E8016CD">
      <w:pPr>
        <w:pStyle w:val="33"/>
      </w:pPr>
      <w:r>
        <w:t>Que faire des rapports médicaux vides ou trop courts ?</w:t>
      </w:r>
      <w:r>
        <w:rPr>
          <w:rFonts w:hint="default"/>
          <w:lang w:val="fr-FR"/>
        </w:rPr>
        <w:t xml:space="preserve"> </w:t>
      </w:r>
      <w:r>
        <w:t>Faut-il fixer une longueur minimale de rapport pour conserver une paire ?</w:t>
      </w:r>
    </w:p>
    <w:p w14:paraId="66E0BA3B">
      <w:pPr>
        <w:pStyle w:val="33"/>
      </w:pPr>
      <w:r>
        <w:t>Quelle proportion de paires cohérentes / incohérentes utiliser pour entraîner un modèle fiable et lisible ?</w:t>
      </w:r>
    </w:p>
    <w:p w14:paraId="48C8C440">
      <w:pPr>
        <w:pStyle w:val="33"/>
      </w:pPr>
      <w:r>
        <w:t>La création artificielle de paires incohérentes par permutation des rapports est-elle acceptable dans ce cadre pédagogique ?</w:t>
      </w:r>
      <w:bookmarkStart w:id="0" w:name="_GoBack"/>
      <w:bookmarkEnd w:id="0"/>
    </w:p>
    <w:p w14:paraId="58B2370C">
      <w:pPr>
        <w:pStyle w:val="33"/>
      </w:pPr>
      <w:r>
        <w:t>Quelle stratégie de création des fausses paires est la plus pertinente : négatives simples, pathologies proches, négatifs partiels ou contrôlés par métadonnées ?</w:t>
      </w:r>
    </w:p>
    <w:p w14:paraId="508E6C56">
      <w:pPr>
        <w:pStyle w:val="33"/>
      </w:pPr>
      <w:r>
        <w:t>Des augmentations d’images (flou, rotation, bruit, contraste, etc.) sont-elles utiles ou nécessaires pour améliorer le MVP ?</w:t>
      </w:r>
    </w:p>
    <w:p w14:paraId="358B5D48">
      <w:pPr>
        <w:pStyle w:val="3"/>
      </w:pPr>
      <w:r>
        <w:rPr>
          <w:rFonts w:hint="default"/>
          <w:lang w:val="fr-FR"/>
        </w:rPr>
        <w:t>12.</w:t>
      </w:r>
      <w:r>
        <w:t>2. Infrastructure &amp; ressources techniques</w:t>
      </w:r>
    </w:p>
    <w:p w14:paraId="480CA310">
      <w:pPr>
        <w:pStyle w:val="33"/>
      </w:pPr>
      <w:r>
        <w:t>Sur quelle infrastructure le projet sera-t-il exécuté : ordinateur personnel, Google Colab ou autre environnement ?</w:t>
      </w:r>
    </w:p>
    <w:p w14:paraId="344A3667">
      <w:pPr>
        <w:pStyle w:val="33"/>
      </w:pPr>
      <w:r>
        <w:t>Quel impact cela aura-t-il sur la taille du dataset, le temps d’entraînement, le choix des modèles et le niveau de complexité possible ?</w:t>
      </w:r>
    </w:p>
    <w:p w14:paraId="6E8573EA">
      <w:pPr>
        <w:pStyle w:val="3"/>
      </w:pPr>
      <w:r>
        <w:rPr>
          <w:rFonts w:hint="default"/>
          <w:lang w:val="fr-FR"/>
        </w:rPr>
        <w:t>12.</w:t>
      </w:r>
      <w:r>
        <w:t>3. Architecture &amp; niveau technique attendu</w:t>
      </w:r>
    </w:p>
    <w:p w14:paraId="53D0F0F2">
      <w:pPr>
        <w:pStyle w:val="33"/>
      </w:pPr>
      <w:r>
        <w:t>Quel niveau de deep learning est réellement attendu : embeddings pré-calculés, modèles gelés, fine-tuning léger ou entraînement complet ?</w:t>
      </w:r>
    </w:p>
    <w:p w14:paraId="3873755A">
      <w:pPr>
        <w:pStyle w:val="33"/>
      </w:pPr>
      <w:r>
        <w:t xml:space="preserve">Faut-il prévoir </w:t>
      </w:r>
      <w:r>
        <w:rPr>
          <w:rFonts w:hint="default"/>
          <w:lang w:val="fr-FR"/>
        </w:rPr>
        <w:t xml:space="preserve">2 </w:t>
      </w:r>
      <w:r>
        <w:t>modèles unimodaux simples, image seule et texte seul, comme analyses complémentaires</w:t>
      </w:r>
      <w:r>
        <w:rPr>
          <w:rFonts w:hint="default"/>
          <w:lang w:val="fr-FR"/>
        </w:rPr>
        <w:t xml:space="preserve"> / baselines</w:t>
      </w:r>
      <w:r>
        <w:t xml:space="preserve">, ou concentrer l’évaluation sur une baseline multimodale comparable au MVP </w:t>
      </w:r>
      <w:r>
        <w:rPr>
          <w:rFonts w:hint="default"/>
          <w:lang w:val="fr-FR"/>
        </w:rPr>
        <w:t xml:space="preserve">(Logistic Regression pour baseline et MLP pour le MVP) </w:t>
      </w:r>
      <w:r>
        <w:t>?</w:t>
      </w:r>
      <w:r>
        <w:rPr>
          <w:rFonts w:hint="default"/>
          <w:lang w:val="fr-FR"/>
        </w:rPr>
        <w:t xml:space="preserve"> </w:t>
      </w:r>
    </w:p>
    <w:p w14:paraId="604F84DE">
      <w:pPr>
        <w:pStyle w:val="3"/>
      </w:pPr>
      <w:r>
        <w:rPr>
          <w:rFonts w:hint="default"/>
          <w:lang w:val="fr-FR"/>
        </w:rPr>
        <w:t>12.</w:t>
      </w:r>
      <w:r>
        <w:t>4. Évaluation &amp; qualité du modèle</w:t>
      </w:r>
    </w:p>
    <w:p w14:paraId="531D8320">
      <w:pPr>
        <w:pStyle w:val="33"/>
      </w:pPr>
      <w:r>
        <w:t>Quels critères pèseront le plus pour le jury : performances, qualité du pipeline, interprétabilité, démonstration, présentation ou justification des choix techniques ?</w:t>
      </w:r>
    </w:p>
    <w:p w14:paraId="28D94F25">
      <w:pPr>
        <w:pStyle w:val="33"/>
      </w:pPr>
      <w:r>
        <w:t>Quel niveau de performance minimale est acceptable pour considérer le MVP comme crédible ?</w:t>
      </w:r>
    </w:p>
    <w:p w14:paraId="4C59555B">
      <w:pPr>
        <w:pStyle w:val="33"/>
      </w:pPr>
      <w:r>
        <w:t>À partir de quel niveau de faux positifs / fausses alertes considère-t-on que le système devient peu utile ?</w:t>
      </w:r>
      <w:r>
        <w:rPr>
          <w:rFonts w:hint="default"/>
          <w:lang w:val="fr-FR"/>
        </w:rPr>
        <w:t xml:space="preserve"> </w:t>
      </w:r>
      <w:r>
        <w:t>Quelle marge d’erreur est acceptable dans le cadre du projet ?</w:t>
      </w:r>
    </w:p>
    <w:p w14:paraId="67DD317F">
      <w:pPr>
        <w:pStyle w:val="3"/>
      </w:pPr>
      <w:r>
        <w:rPr>
          <w:rFonts w:hint="default"/>
          <w:lang w:val="fr-FR"/>
        </w:rPr>
        <w:t>12.</w:t>
      </w:r>
      <w:r>
        <w:t>5. Démonstration finale &amp; soutenance</w:t>
      </w:r>
    </w:p>
    <w:p w14:paraId="4D0769B7">
      <w:pPr>
        <w:pStyle w:val="33"/>
      </w:pPr>
      <w:r>
        <w:t>Quelle forme prendra la démonstration finale : notebook, application Streamlit, vidéo de secours ou autre ?</w:t>
      </w:r>
    </w:p>
    <w:p w14:paraId="2123111A">
      <w:pPr>
        <w:pStyle w:val="33"/>
      </w:pPr>
      <w:r>
        <w:t>Prévoit-on une solution de secours en cas de problème technique pendant la soutenance ?</w:t>
      </w:r>
    </w:p>
    <w:p w14:paraId="6C2F1737">
      <w:pPr>
        <w:pStyle w:val="33"/>
      </w:pPr>
      <w:r>
        <w:t>Les tests pendant la démo seront-ils préparés à l’avance ou réalisés en direct avec des exemples proposés par le jury ?</w:t>
      </w:r>
    </w:p>
    <w:p w14:paraId="1F0550CF">
      <w:pPr>
        <w:pStyle w:val="33"/>
      </w:pPr>
      <w:r>
        <w:t>Quel niveau d’interactivité souhaite-t-on montrer pendant la démonstration ?</w:t>
      </w:r>
    </w:p>
    <w:sectPr>
      <w:footerReference r:id="rId5" w:type="default"/>
      <w:pgSz w:w="12240" w:h="15840"/>
      <w:pgMar w:top="850" w:right="964" w:bottom="850"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37CC8">
    <w:pPr>
      <w:pStyle w:val="24"/>
      <w:jc w:val="center"/>
    </w:pPr>
    <w:r>
      <w:rPr>
        <w:color w:val="646464"/>
        <w:sz w:val="16"/>
      </w:rPr>
      <w:t>Note de cadrage - Auditeur de Cohérence Médicale - Projet final Jedha DS Fullstack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C523FB"/>
    <w:rsid w:val="0B6A6AA1"/>
    <w:rsid w:val="2EA36092"/>
    <w:rsid w:val="2F1F1260"/>
    <w:rsid w:val="3A3556CD"/>
    <w:rsid w:val="5A851901"/>
    <w:rsid w:val="7D6B33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4" w:lineRule="auto"/>
    </w:pPr>
    <w:rPr>
      <w:rFonts w:ascii="Aptos" w:hAnsi="Aptos" w:eastAsia="Aptos" w:cstheme="minorBidi"/>
      <w:sz w:val="19"/>
      <w:szCs w:val="22"/>
      <w:lang w:val="en-US" w:eastAsia="en-US" w:bidi="ar-SA"/>
    </w:rPr>
  </w:style>
  <w:style w:type="paragraph" w:styleId="2">
    <w:name w:val="heading 1"/>
    <w:basedOn w:val="1"/>
    <w:next w:val="1"/>
    <w:link w:val="39"/>
    <w:qFormat/>
    <w:uiPriority w:val="9"/>
    <w:pPr>
      <w:keepNext/>
      <w:keepLines/>
      <w:spacing w:before="160" w:after="80"/>
      <w:outlineLvl w:val="0"/>
    </w:pPr>
    <w:rPr>
      <w:rFonts w:asciiTheme="majorHAnsi" w:hAnsiTheme="majorHAnsi" w:eastAsiaTheme="majorEastAsia" w:cstheme="majorBidi"/>
      <w:b/>
      <w:bCs/>
      <w:color w:val="1F4E79"/>
      <w:sz w:val="30"/>
      <w:szCs w:val="28"/>
    </w:rPr>
  </w:style>
  <w:style w:type="paragraph" w:styleId="3">
    <w:name w:val="heading 2"/>
    <w:basedOn w:val="1"/>
    <w:next w:val="1"/>
    <w:link w:val="40"/>
    <w:unhideWhenUsed/>
    <w:qFormat/>
    <w:uiPriority w:val="9"/>
    <w:pPr>
      <w:keepNext/>
      <w:keepLines/>
      <w:spacing w:before="160" w:after="80"/>
      <w:outlineLvl w:val="1"/>
    </w:pPr>
    <w:rPr>
      <w:rFonts w:asciiTheme="majorHAnsi" w:hAnsiTheme="majorHAnsi" w:eastAsiaTheme="majorEastAsia" w:cstheme="majorBidi"/>
      <w:b/>
      <w:bCs/>
      <w:color w:val="2F5597"/>
      <w:sz w:val="24"/>
      <w:szCs w:val="26"/>
    </w:rPr>
  </w:style>
  <w:style w:type="paragraph" w:styleId="4">
    <w:name w:val="heading 3"/>
    <w:basedOn w:val="1"/>
    <w:next w:val="1"/>
    <w:link w:val="41"/>
    <w:unhideWhenUsed/>
    <w:qFormat/>
    <w:uiPriority w:val="9"/>
    <w:pPr>
      <w:keepNext/>
      <w:keepLines/>
      <w:spacing w:before="160" w:after="80"/>
      <w:outlineLvl w:val="2"/>
    </w:pPr>
    <w:rPr>
      <w:rFonts w:asciiTheme="majorHAnsi" w:hAnsiTheme="majorHAnsi" w:eastAsiaTheme="majorEastAsia" w:cstheme="majorBidi"/>
      <w:b/>
      <w:bCs/>
      <w:color w:val="1F4E79"/>
      <w:sz w:val="21"/>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before="160" w:after="80" w:line="240" w:lineRule="auto"/>
      <w:contextualSpacing/>
    </w:pPr>
    <w:rPr>
      <w:rFonts w:asciiTheme="majorHAnsi" w:hAnsiTheme="majorHAnsi" w:eastAsiaTheme="majorEastAsia" w:cstheme="majorBidi"/>
      <w:b/>
      <w:color w:val="1F4E79"/>
      <w:spacing w:val="5"/>
      <w:kern w:val="28"/>
      <w:sz w:val="44"/>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703</Words>
  <Characters>4346</Characters>
  <Lines>0</Lines>
  <Paragraphs>0</Paragraphs>
  <TotalTime>1</TotalTime>
  <ScaleCrop>false</ScaleCrop>
  <LinksUpToDate>false</LinksUpToDate>
  <CharactersWithSpaces>4958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 - mise en page et structuration</dc:creator>
  <dc:description>generated by python-docx</dc:description>
  <cp:keywords>Jedha, data science, multimodal, radiographie, compte-rendu, classification, MVP</cp:keywords>
  <cp:lastModifiedBy>WPS_1708910758</cp:lastModifiedBy>
  <dcterms:modified xsi:type="dcterms:W3CDTF">2026-05-18T14:28:57Z</dcterms:modified>
  <dc:subject>Projet final Jedha DS Fullstack</dc:subject>
  <dc:title>Note de cadrage - Auditeur de Cohérence Médicale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eyJoZGlkIjoiNDlhMjAzODY3OGY2ZjRmM2JmYWJlZDVhMDc5MDA4NGYiLCJ1c2VySWQiOiIzNzI4NTQ4NTY3NjM4In0=</vt:lpwstr>
  </property>
  <property fmtid="{D5CDD505-2E9C-101B-9397-08002B2CF9AE}" pid="3" name="KSOProductBuildVer">
    <vt:lpwstr>1036-12.1.0.26372</vt:lpwstr>
  </property>
  <property fmtid="{D5CDD505-2E9C-101B-9397-08002B2CF9AE}" pid="4" name="ICV">
    <vt:lpwstr>A9CF3CBFCA0A401EA8F7CF075DBD62E2_13</vt:lpwstr>
  </property>
</Properties>
</file>