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242AF" w14:textId="77777777" w:rsidR="006177B0" w:rsidRDefault="00000000">
      <w:r>
        <w:rPr>
          <w:noProof/>
        </w:rPr>
        <w:drawing>
          <wp:anchor distT="0" distB="0" distL="0" distR="0" simplePos="0" relativeHeight="10696575" behindDoc="1" locked="0" layoutInCell="1" allowOverlap="1" wp14:anchorId="563C5E72" wp14:editId="65000E48">
            <wp:simplePos x="0" y="0"/>
            <wp:positionH relativeFrom="page">
              <wp:align>center</wp:align>
            </wp:positionH>
            <wp:positionV relativeFrom="page">
              <wp:align>center</wp:align>
            </wp:positionV>
            <wp:extent cx="7562850" cy="1069657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4994EB3F" w14:textId="77777777" w:rsidR="006177B0" w:rsidRDefault="006177B0">
      <w:pPr>
        <w:sectPr w:rsidR="006177B0">
          <w:pgSz w:w="11906" w:h="16838"/>
          <w:pgMar w:top="0" w:right="0" w:bottom="0" w:left="0" w:header="708" w:footer="708" w:gutter="0"/>
          <w:cols w:space="720"/>
          <w:docGrid w:linePitch="360"/>
        </w:sectPr>
      </w:pPr>
    </w:p>
    <w:p w14:paraId="7111A826" w14:textId="77777777" w:rsidR="006177B0" w:rsidRDefault="00000000">
      <w:pPr>
        <w:pStyle w:val="Titre1"/>
        <w:spacing w:before="240" w:after="100"/>
      </w:pPr>
      <w:r>
        <w:rPr>
          <w:b/>
          <w:bCs/>
          <w:color w:val="1F3864"/>
          <w:sz w:val="26"/>
          <w:szCs w:val="26"/>
        </w:rPr>
        <w:lastRenderedPageBreak/>
        <w:t>1.  Objet et périmètre</w:t>
      </w:r>
    </w:p>
    <w:p w14:paraId="4D6CB8F5" w14:textId="77777777" w:rsidR="006177B0" w:rsidRDefault="00000000">
      <w:pPr>
        <w:spacing w:before="60" w:after="40"/>
      </w:pPr>
      <w:r>
        <w:rPr>
          <w:b/>
          <w:bCs/>
          <w:color w:val="2E5496"/>
          <w:sz w:val="22"/>
          <w:szCs w:val="22"/>
        </w:rPr>
        <w:t>Objet</w:t>
      </w:r>
    </w:p>
    <w:p w14:paraId="5F007248" w14:textId="77777777" w:rsidR="006177B0" w:rsidRDefault="00000000">
      <w:pPr>
        <w:spacing w:after="120" w:line="276" w:lineRule="auto"/>
        <w:jc w:val="both"/>
      </w:pPr>
      <w:r>
        <w:rPr>
          <w:color w:val="000000"/>
          <w:sz w:val="22"/>
          <w:szCs w:val="22"/>
        </w:rPr>
        <w:t>La présente politique définit le cadre unique de gouvernance des données (data governance) de Spotify. Elle a pour but de garantir la qualité, la sécurité, la confidentialité et la conformité des données, tout en assurant leur disponibilité et leur exploitation efficace au service des objectifs de l'entreprise. Elle constitue le document de référence auquel se rattachent l'ensemble des règles, des procédures et des responsabilités relatives aux données.</w:t>
      </w:r>
    </w:p>
    <w:p w14:paraId="2F2D27D9" w14:textId="77777777" w:rsidR="006177B0" w:rsidRDefault="00000000">
      <w:pPr>
        <w:spacing w:before="60" w:after="40"/>
      </w:pPr>
      <w:r>
        <w:rPr>
          <w:b/>
          <w:bCs/>
          <w:color w:val="2E5496"/>
          <w:sz w:val="22"/>
          <w:szCs w:val="22"/>
        </w:rPr>
        <w:t>Périmètre</w:t>
      </w:r>
    </w:p>
    <w:p w14:paraId="725E74B0" w14:textId="77777777" w:rsidR="006177B0" w:rsidRDefault="00000000">
      <w:pPr>
        <w:spacing w:after="120" w:line="276" w:lineRule="auto"/>
        <w:jc w:val="both"/>
      </w:pPr>
      <w:r>
        <w:rPr>
          <w:color w:val="000000"/>
          <w:sz w:val="22"/>
          <w:szCs w:val="22"/>
        </w:rPr>
        <w:t>La politique s'applique à l'ensemble du patrimoine de données de Spotify, quels que soient sa nature et son lieu de traitement : journaux d'activité des utilisateurs, métadonnées des morceaux et des podcasts, données démographiques, informations d'abonnement et de facturation, indicateurs d'engagement des campagnes marketing. Elle couvre tous les systèmes qui hébergent ou traitent ces données (lacs de données, bases relationnelles, stockage cloud), tous les départements (marketing, produit, ingénierie, curation de contenu) et toutes les régions où l'entreprise opère.</w:t>
      </w:r>
    </w:p>
    <w:p w14:paraId="2CAF815E" w14:textId="77777777" w:rsidR="006177B0" w:rsidRDefault="00000000">
      <w:pPr>
        <w:spacing w:before="60" w:after="40"/>
      </w:pPr>
      <w:r>
        <w:rPr>
          <w:b/>
          <w:bCs/>
          <w:color w:val="2E5496"/>
          <w:sz w:val="22"/>
          <w:szCs w:val="22"/>
        </w:rPr>
        <w:t>Personnes concernées</w:t>
      </w:r>
    </w:p>
    <w:p w14:paraId="6402CFAF" w14:textId="77777777" w:rsidR="006177B0" w:rsidRDefault="00000000">
      <w:pPr>
        <w:spacing w:after="120" w:line="276" w:lineRule="auto"/>
        <w:jc w:val="both"/>
      </w:pPr>
      <w:r>
        <w:rPr>
          <w:color w:val="000000"/>
          <w:sz w:val="22"/>
          <w:szCs w:val="22"/>
        </w:rPr>
        <w:t>La politique engage l'ensemble des collaborateurs de Spotify, y compris les prestataires et partenaires ayant accès aux données. L'accessibilité des règles et des outils est garantie pour tous, y compris les personnes en situation de handicap.</w:t>
      </w:r>
    </w:p>
    <w:p w14:paraId="5AE652ED" w14:textId="77777777" w:rsidR="006177B0" w:rsidRDefault="00000000">
      <w:pPr>
        <w:pStyle w:val="Titre1"/>
        <w:spacing w:before="240" w:after="100"/>
      </w:pPr>
      <w:r>
        <w:rPr>
          <w:b/>
          <w:bCs/>
          <w:color w:val="1F3864"/>
          <w:sz w:val="26"/>
          <w:szCs w:val="26"/>
        </w:rPr>
        <w:t>2.  Principes directeurs</w:t>
      </w:r>
    </w:p>
    <w:p w14:paraId="51082C95" w14:textId="77777777" w:rsidR="006177B0" w:rsidRDefault="00000000">
      <w:pPr>
        <w:spacing w:after="120" w:line="276" w:lineRule="auto"/>
        <w:jc w:val="both"/>
      </w:pPr>
      <w:r>
        <w:rPr>
          <w:color w:val="000000"/>
          <w:sz w:val="22"/>
          <w:szCs w:val="22"/>
        </w:rPr>
        <w:t>La gouvernance des données de Spotify repose sur neuf principes fondateurs. Ils s'appliquent à toutes les activités liées aux données et servent de grille d'arbitrage en cas de doute.</w:t>
      </w:r>
    </w:p>
    <w:p w14:paraId="41A32BD7" w14:textId="77777777" w:rsidR="006177B0" w:rsidRDefault="00000000">
      <w:pPr>
        <w:pStyle w:val="Paragraphedeliste"/>
        <w:numPr>
          <w:ilvl w:val="0"/>
          <w:numId w:val="2"/>
        </w:numPr>
        <w:spacing w:after="80" w:line="276" w:lineRule="auto"/>
        <w:jc w:val="both"/>
      </w:pPr>
      <w:r>
        <w:rPr>
          <w:b/>
          <w:bCs/>
          <w:color w:val="1F3864"/>
          <w:sz w:val="22"/>
          <w:szCs w:val="22"/>
        </w:rPr>
        <w:t xml:space="preserve">1. </w:t>
      </w:r>
      <w:r>
        <w:rPr>
          <w:color w:val="000000"/>
          <w:sz w:val="22"/>
          <w:szCs w:val="22"/>
        </w:rPr>
        <w:t xml:space="preserve">Responsabilité (accountability). Chaque jeu de données a un responsable identifié. Des gestionnaires de données (data stewards) et un délégué à la protection des données (data protection officer, DPO) garantissent le respect des normes organisationnelles, éthiques et légales.</w:t>
      </w:r>
    </w:p>
    <w:p w14:paraId="2BD5BD89" w14:textId="77777777" w:rsidR="006177B0" w:rsidRDefault="00000000">
      <w:pPr>
        <w:pStyle w:val="Paragraphedeliste"/>
        <w:numPr>
          <w:ilvl w:val="0"/>
          <w:numId w:val="2"/>
        </w:numPr>
        <w:spacing w:after="80" w:line="276" w:lineRule="auto"/>
        <w:jc w:val="both"/>
      </w:pPr>
      <w:r>
        <w:rPr>
          <w:b/>
          <w:bCs/>
          <w:color w:val="1F3864"/>
          <w:sz w:val="22"/>
          <w:szCs w:val="22"/>
        </w:rPr>
        <w:t xml:space="preserve">2. </w:t>
      </w:r>
      <w:r>
        <w:rPr>
          <w:color w:val="000000"/>
          <w:sz w:val="22"/>
          <w:szCs w:val="22"/>
        </w:rPr>
        <w:t>Transparence. Toute activité de traitement (collecte, stockage, partage) est communiquée clairement aux utilisateurs, au moyen d'avis de confidentialité et d'une gestion du consentement.</w:t>
      </w:r>
    </w:p>
    <w:p w14:paraId="41D4EFDC" w14:textId="77777777" w:rsidR="006177B0" w:rsidRDefault="00000000">
      <w:pPr>
        <w:pStyle w:val="Paragraphedeliste"/>
        <w:numPr>
          <w:ilvl w:val="0"/>
          <w:numId w:val="2"/>
        </w:numPr>
        <w:spacing w:after="80" w:line="276" w:lineRule="auto"/>
        <w:jc w:val="both"/>
      </w:pPr>
      <w:r>
        <w:rPr>
          <w:b/>
          <w:bCs/>
          <w:color w:val="1F3864"/>
          <w:sz w:val="22"/>
          <w:szCs w:val="22"/>
        </w:rPr>
        <w:t xml:space="preserve">3. </w:t>
      </w:r>
      <w:r>
        <w:rPr>
          <w:color w:val="000000"/>
          <w:sz w:val="22"/>
          <w:szCs w:val="22"/>
        </w:rPr>
        <w:t>Sécurité. Les données sensibles, notamment les données personnelles et de paiement, sont chiffrées et protégées selon les normes les plus élevées (PCI-DSS pour les paiements).</w:t>
      </w:r>
    </w:p>
    <w:p w14:paraId="2102A284" w14:textId="77777777" w:rsidR="006177B0" w:rsidRDefault="00000000">
      <w:pPr>
        <w:pStyle w:val="Paragraphedeliste"/>
        <w:numPr>
          <w:ilvl w:val="0"/>
          <w:numId w:val="2"/>
        </w:numPr>
        <w:spacing w:after="80" w:line="276" w:lineRule="auto"/>
        <w:jc w:val="both"/>
      </w:pPr>
      <w:r>
        <w:rPr>
          <w:b/>
          <w:bCs/>
          <w:color w:val="1F3864"/>
          <w:sz w:val="22"/>
          <w:szCs w:val="22"/>
        </w:rPr>
        <w:t xml:space="preserve">4. </w:t>
      </w:r>
      <w:r>
        <w:rPr>
          <w:color w:val="000000"/>
          <w:sz w:val="22"/>
          <w:szCs w:val="22"/>
        </w:rPr>
        <w:t>Qualité. Les données collectées et traitées sont exactes, complètes et fiables, et font l'objet d'audits réguliers.</w:t>
      </w:r>
    </w:p>
    <w:p w14:paraId="7D216263" w14:textId="77777777" w:rsidR="006177B0" w:rsidRDefault="00000000">
      <w:pPr>
        <w:pStyle w:val="Paragraphedeliste"/>
        <w:numPr>
          <w:ilvl w:val="0"/>
          <w:numId w:val="2"/>
        </w:numPr>
        <w:spacing w:after="80" w:line="276" w:lineRule="auto"/>
        <w:jc w:val="both"/>
      </w:pPr>
      <w:r>
        <w:rPr>
          <w:b/>
          <w:bCs/>
          <w:color w:val="1F3864"/>
          <w:sz w:val="22"/>
          <w:szCs w:val="22"/>
        </w:rPr>
        <w:t xml:space="preserve">5. </w:t>
      </w:r>
      <w:r>
        <w:rPr>
          <w:color w:val="000000"/>
          <w:sz w:val="22"/>
          <w:szCs w:val="22"/>
        </w:rPr>
        <w:t>Conformité. Les traitements respectent le RGPD, le CCPA et la norme PCI-DSS : licéité, consentement et respect des droits des personnes.</w:t>
      </w:r>
    </w:p>
    <w:p w14:paraId="04C87843" w14:textId="77777777" w:rsidR="006177B0" w:rsidRDefault="00000000">
      <w:pPr>
        <w:pStyle w:val="Paragraphedeliste"/>
        <w:numPr>
          <w:ilvl w:val="0"/>
          <w:numId w:val="2"/>
        </w:numPr>
        <w:spacing w:after="80" w:line="276" w:lineRule="auto"/>
        <w:jc w:val="both"/>
      </w:pPr>
      <w:r>
        <w:rPr>
          <w:b/>
          <w:bCs/>
          <w:color w:val="1F3864"/>
          <w:sz w:val="22"/>
          <w:szCs w:val="22"/>
        </w:rPr>
        <w:t xml:space="preserve">6. </w:t>
      </w:r>
      <w:r>
        <w:rPr>
          <w:color w:val="000000"/>
          <w:sz w:val="22"/>
          <w:szCs w:val="22"/>
        </w:rPr>
        <w:t>Minimisation (data minimization). Seules les données nécessaires à une finalité précise sont collectées et conservées.</w:t>
      </w:r>
    </w:p>
    <w:p w14:paraId="19BA6567" w14:textId="77777777" w:rsidR="006177B0" w:rsidRDefault="00000000">
      <w:pPr>
        <w:pStyle w:val="Paragraphedeliste"/>
        <w:numPr>
          <w:ilvl w:val="0"/>
          <w:numId w:val="2"/>
        </w:numPr>
        <w:spacing w:after="80" w:line="276" w:lineRule="auto"/>
        <w:jc w:val="both"/>
      </w:pPr>
      <w:r>
        <w:rPr>
          <w:b/>
          <w:bCs/>
          <w:color w:val="1F3864"/>
          <w:sz w:val="22"/>
          <w:szCs w:val="22"/>
        </w:rPr>
        <w:t xml:space="preserve">7. </w:t>
      </w:r>
      <w:r>
        <w:rPr>
          <w:color w:val="000000"/>
          <w:sz w:val="22"/>
          <w:szCs w:val="22"/>
        </w:rPr>
        <w:t>Droits des utilisateurs. Chaque utilisateur peut accéder à ses données, les rectifier, les supprimer, s'opposer à certains traitements et refuser leur vente ou leur partage.</w:t>
      </w:r>
    </w:p>
    <w:p w14:paraId="1ED0E9B3" w14:textId="77777777" w:rsidR="006177B0" w:rsidRDefault="00000000">
      <w:pPr>
        <w:pStyle w:val="Paragraphedeliste"/>
        <w:numPr>
          <w:ilvl w:val="0"/>
          <w:numId w:val="2"/>
        </w:numPr>
        <w:spacing w:after="80" w:line="276" w:lineRule="auto"/>
        <w:jc w:val="both"/>
      </w:pPr>
      <w:r>
        <w:rPr>
          <w:b/>
          <w:bCs/>
          <w:color w:val="1F3864"/>
          <w:sz w:val="22"/>
          <w:szCs w:val="22"/>
        </w:rPr>
        <w:t xml:space="preserve">8. </w:t>
      </w:r>
      <w:r>
        <w:rPr>
          <w:color w:val="000000"/>
          <w:sz w:val="22"/>
          <w:szCs w:val="22"/>
        </w:rPr>
        <w:t>Amélioration continue. Le cadre évolue avec la réglementation, la technologie et les besoins de l'entreprise, au moyen de révisions régulières.</w:t>
      </w:r>
    </w:p>
    <w:p w14:paraId="4FA2443B" w14:textId="77777777" w:rsidR="006177B0" w:rsidRDefault="00000000">
      <w:pPr>
        <w:pStyle w:val="Paragraphedeliste"/>
        <w:numPr>
          <w:ilvl w:val="0"/>
          <w:numId w:val="2"/>
        </w:numPr>
        <w:spacing w:after="80" w:line="276" w:lineRule="auto"/>
        <w:jc w:val="both"/>
      </w:pPr>
      <w:r>
        <w:rPr>
          <w:b/>
          <w:bCs/>
          <w:color w:val="1F3864"/>
          <w:sz w:val="22"/>
          <w:szCs w:val="22"/>
        </w:rPr>
        <w:t xml:space="preserve">9. </w:t>
      </w:r>
      <w:r>
        <w:rPr>
          <w:color w:val="000000"/>
          <w:sz w:val="22"/>
          <w:szCs w:val="22"/>
        </w:rPr>
        <w:t>Usage éthique. L'utilisation de l'intelligence artificielle et des traitements automatisés est transparente, surveillée et exempte de biais.</w:t>
      </w:r>
    </w:p>
    <w:p w14:paraId="1F205ADC" w14:textId="77777777" w:rsidR="006177B0" w:rsidRDefault="00000000">
      <w:pPr>
        <w:pStyle w:val="Titre1"/>
        <w:spacing w:before="240" w:after="100"/>
      </w:pPr>
      <w:r>
        <w:rPr>
          <w:b/>
          <w:bCs/>
          <w:color w:val="1F3864"/>
          <w:sz w:val="26"/>
          <w:szCs w:val="26"/>
        </w:rPr>
        <w:lastRenderedPageBreak/>
        <w:t>3.  Rôles, responsabilités et instances</w:t>
      </w:r>
    </w:p>
    <w:p w14:paraId="374A7214" w14:textId="77777777" w:rsidR="006177B0" w:rsidRDefault="00000000">
      <w:pPr>
        <w:spacing w:after="120" w:line="276" w:lineRule="auto"/>
        <w:jc w:val="both"/>
      </w:pPr>
      <w:r>
        <w:rPr>
          <w:color w:val="000000"/>
          <w:sz w:val="22"/>
          <w:szCs w:val="22"/>
        </w:rPr>
        <w:t>La gouvernance des données distingue trois niveaux de responsabilité, qu'il convient de ne pas confondre : la gouvernance définit les règles, la gestion les applique, l'analyse exploite les données. Cette séparation garantit qu'aucun acteur ne contrôle ses propres pratiques.</w:t>
      </w:r>
    </w:p>
    <w:p w14:paraId="3E074008" w14:textId="77777777" w:rsidR="006177B0" w:rsidRDefault="00000000">
      <w:pPr>
        <w:spacing w:after="120" w:line="276" w:lineRule="auto"/>
        <w:jc w:val="both"/>
      </w:pPr>
      <w:r>
        <w:rPr>
          <w:color w:val="000000"/>
          <w:sz w:val="22"/>
          <w:szCs w:val="22"/>
        </w:rPr>
        <w:t>Les rôles clés sont les suivants. Le directeur des données (chief data officer, CDO) porte la stratégie de gouvernance et l'aligne sur les objectifs de l'entreprise. Le délégué à la protection des données (DPO) veille à la conformité et fait le lien avec les autorités de régulation. Les gestionnaires de données (data stewards) garantissent l'application des règles sur leur domaine. Le comité de gouvernance des données (data governance committee), réunissant les représentants des principaux départements, examine et valide les politiques. Les responsables métier (ingénierie, marketing, produit) et l'équipe juridique portent la responsabilité opérationnelle sur leur périmètre.</w:t>
      </w:r>
    </w:p>
    <w:p w14:paraId="373059C9" w14:textId="77777777" w:rsidR="006177B0" w:rsidRDefault="00000000">
      <w:pPr>
        <w:keepNext/>
        <w:spacing w:after="120" w:line="276" w:lineRule="auto"/>
        <w:jc w:val="both"/>
      </w:pPr>
      <w:r>
        <w:rPr>
          <w:color w:val="000000"/>
          <w:sz w:val="22"/>
          <w:szCs w:val="22"/>
        </w:rPr>
        <w:t>L'attribution des responsabilités suit la matrice RACI ci-dessous : pour chaque activité liée aux données, plusieurs acteurs peuvent réaliser le travail (R), mais une seule personne en répond et tranche (A). La place de chaque rôle dans l'organisation figure dans l'organigramme annexé à la présente politique.</w:t>
      </w:r>
    </w:p>
    <w:tbl>
      <w:tblPr>
        <w:tblW w:w="9638" w:type="dxa"/>
        <w:jc w:val="center"/>
        <w:tblBorders>
          <w:top w:val="single" w:sz="4" w:space="0" w:color="B8C9E0"/>
          <w:left w:val="nil"/>
          <w:bottom w:val="single" w:sz="4" w:space="0" w:color="B8C9E0"/>
          <w:right w:val="nil"/>
          <w:insideH w:val="single" w:sz="4" w:space="0" w:color="B8C9E0"/>
          <w:insideV w:val="single" w:sz="4" w:space="0" w:color="B8C9E0"/>
        </w:tblBorders>
        <w:tblLayout w:type="fixed"/>
        <w:tblCellMar>
          <w:top w:w="45" w:type="dxa"/>
          <w:left w:w="50" w:type="dxa"/>
          <w:bottom w:w="45" w:type="dxa"/>
          <w:right w:w="50" w:type="dxa"/>
        </w:tblCellMar>
        <w:tblLook w:val="04A0" w:firstRow="1" w:lastRow="0" w:firstColumn="1" w:lastColumn="0" w:noHBand="0" w:noVBand="1"/>
      </w:tblPr>
      <w:tblGrid>
        <w:gridCol w:w="2246"/>
        <w:gridCol w:w="924"/>
        <w:gridCol w:w="924"/>
        <w:gridCol w:w="924"/>
        <w:gridCol w:w="924"/>
        <w:gridCol w:w="924"/>
        <w:gridCol w:w="924"/>
        <w:gridCol w:w="924"/>
        <w:gridCol w:w="924"/>
      </w:tblGrid>
      <w:tr>
        <w:trPr>
          <w:cantSplit/>
          <w:tblHeader/>
        </w:trPr>
        <w:tc>
          <w:tcPr>
            <w:tcW w:w="2246" w:type="dxa"/>
            <w:shd w:val="clear" w:color="auto" w:fill="1F3864"/>
            <w:vAlign w:val="center"/>
          </w:tcPr>
          <w:p>
            <w:pPr>
              <w:keepNext/>
              <w:spacing w:before="0" w:after="0" w:line="240" w:lineRule="auto"/>
              <w:jc w:val="left"/>
            </w:pPr>
            <w:r>
              <w:rPr>
                <w:rFonts w:ascii="Calibri" w:cs="Calibri" w:eastAsia="Calibri" w:hAnsi="Calibri"/>
                <w:b/>
                <w:bCs/>
                <w:color w:val="FFFFFF"/>
                <w:sz w:val="16"/>
                <w:szCs w:val="16"/>
              </w:rPr>
              <w:t xml:space="preserve">Activité</w:t>
            </w:r>
          </w:p>
        </w:tc>
        <w:tc>
          <w:tcPr>
            <w:tcW w:w="924" w:type="dxa"/>
            <w:shd w:val="clear" w:color="auto" w:fill="1F3864"/>
            <w:vAlign w:val="center"/>
          </w:tcPr>
          <w:p>
            <w:pPr>
              <w:keepNext/>
              <w:spacing w:before="0" w:after="0" w:line="240" w:lineRule="auto"/>
              <w:jc w:val="center"/>
            </w:pPr>
            <w:r>
              <w:rPr>
                <w:rFonts w:ascii="Calibri" w:cs="Calibri" w:eastAsia="Calibri" w:hAnsi="Calibri"/>
                <w:b/>
                <w:bCs/>
                <w:color w:val="FFFFFF"/>
                <w:sz w:val="14"/>
                <w:szCs w:val="14"/>
              </w:rPr>
              <w:t xml:space="preserve">CDO</w:t>
            </w:r>
          </w:p>
        </w:tc>
        <w:tc>
          <w:tcPr>
            <w:tcW w:w="924" w:type="dxa"/>
            <w:shd w:val="clear" w:color="auto" w:fill="1F3864"/>
            <w:vAlign w:val="center"/>
          </w:tcPr>
          <w:p>
            <w:pPr>
              <w:keepNext/>
              <w:spacing w:before="0" w:after="0" w:line="240" w:lineRule="auto"/>
              <w:jc w:val="center"/>
            </w:pPr>
            <w:r>
              <w:rPr>
                <w:rFonts w:ascii="Calibri" w:cs="Calibri" w:eastAsia="Calibri" w:hAnsi="Calibri"/>
                <w:b/>
                <w:bCs/>
                <w:color w:val="FFFFFF"/>
                <w:sz w:val="14"/>
                <w:szCs w:val="14"/>
              </w:rPr>
              <w:t xml:space="preserve">Comité</w:t>
            </w:r>
          </w:p>
        </w:tc>
        <w:tc>
          <w:tcPr>
            <w:tcW w:w="924" w:type="dxa"/>
            <w:shd w:val="clear" w:color="auto" w:fill="1F3864"/>
            <w:vAlign w:val="center"/>
          </w:tcPr>
          <w:p>
            <w:pPr>
              <w:keepNext/>
              <w:spacing w:before="0" w:after="0" w:line="240" w:lineRule="auto"/>
              <w:jc w:val="center"/>
            </w:pPr>
            <w:r>
              <w:rPr>
                <w:rFonts w:ascii="Calibri" w:cs="Calibri" w:eastAsia="Calibri" w:hAnsi="Calibri"/>
                <w:b/>
                <w:bCs/>
                <w:color w:val="FFFFFF"/>
                <w:sz w:val="14"/>
                <w:szCs w:val="14"/>
              </w:rPr>
              <w:t xml:space="preserve">DPO</w:t>
            </w:r>
          </w:p>
        </w:tc>
        <w:tc>
          <w:tcPr>
            <w:tcW w:w="924" w:type="dxa"/>
            <w:shd w:val="clear" w:color="auto" w:fill="1F3864"/>
            <w:vAlign w:val="center"/>
          </w:tcPr>
          <w:p>
            <w:pPr>
              <w:keepNext/>
              <w:spacing w:before="0" w:after="0" w:line="240" w:lineRule="auto"/>
              <w:jc w:val="center"/>
            </w:pPr>
            <w:r>
              <w:rPr>
                <w:rFonts w:ascii="Calibri" w:cs="Calibri" w:eastAsia="Calibri" w:hAnsi="Calibri"/>
                <w:b/>
                <w:bCs/>
                <w:color w:val="FFFFFF"/>
                <w:sz w:val="14"/>
                <w:szCs w:val="14"/>
              </w:rPr>
              <w:t xml:space="preserve">Juridique</w:t>
            </w:r>
          </w:p>
        </w:tc>
        <w:tc>
          <w:tcPr>
            <w:tcW w:w="924" w:type="dxa"/>
            <w:shd w:val="clear" w:color="auto" w:fill="1F3864"/>
            <w:vAlign w:val="center"/>
          </w:tcPr>
          <w:p>
            <w:pPr>
              <w:keepNext/>
              <w:spacing w:before="0" w:after="0" w:line="240" w:lineRule="auto"/>
              <w:jc w:val="center"/>
            </w:pPr>
            <w:r>
              <w:rPr>
                <w:rFonts w:ascii="Calibri" w:cs="Calibri" w:eastAsia="Calibri" w:hAnsi="Calibri"/>
                <w:b/>
                <w:bCs/>
                <w:color w:val="FFFFFF"/>
                <w:sz w:val="14"/>
                <w:szCs w:val="14"/>
              </w:rPr>
              <w:t xml:space="preserve">Direction propriétaire du domaine</w:t>
            </w:r>
          </w:p>
        </w:tc>
        <w:tc>
          <w:tcPr>
            <w:tcW w:w="924" w:type="dxa"/>
            <w:shd w:val="clear" w:color="auto" w:fill="1F3864"/>
            <w:vAlign w:val="center"/>
          </w:tcPr>
          <w:p>
            <w:pPr>
              <w:keepNext/>
              <w:spacing w:before="0" w:after="0" w:line="240" w:lineRule="auto"/>
              <w:jc w:val="center"/>
            </w:pPr>
            <w:r>
              <w:rPr>
                <w:rFonts w:ascii="Calibri" w:cs="Calibri" w:eastAsia="Calibri" w:hAnsi="Calibri"/>
                <w:b/>
                <w:bCs/>
                <w:color w:val="FFFFFF"/>
                <w:sz w:val="14"/>
                <w:szCs w:val="14"/>
              </w:rPr>
              <w:t xml:space="preserve">Responsable ingénierie</w:t>
            </w:r>
          </w:p>
        </w:tc>
        <w:tc>
          <w:tcPr>
            <w:tcW w:w="924" w:type="dxa"/>
            <w:shd w:val="clear" w:color="auto" w:fill="1F3864"/>
            <w:vAlign w:val="center"/>
          </w:tcPr>
          <w:p>
            <w:pPr>
              <w:keepNext/>
              <w:spacing w:before="0" w:after="0" w:line="240" w:lineRule="auto"/>
              <w:jc w:val="center"/>
            </w:pPr>
            <w:r>
              <w:rPr>
                <w:rFonts w:ascii="Calibri" w:cs="Calibri" w:eastAsia="Calibri" w:hAnsi="Calibri"/>
                <w:b/>
                <w:bCs/>
                <w:color w:val="FFFFFF"/>
                <w:sz w:val="14"/>
                <w:szCs w:val="14"/>
              </w:rPr>
              <w:t xml:space="preserve">Data Steward du domaine</w:t>
            </w:r>
          </w:p>
        </w:tc>
        <w:tc>
          <w:tcPr>
            <w:tcW w:w="924" w:type="dxa"/>
            <w:shd w:val="clear" w:color="auto" w:fill="1F3864"/>
            <w:vAlign w:val="center"/>
          </w:tcPr>
          <w:p>
            <w:pPr>
              <w:keepNext/>
              <w:spacing w:before="0" w:after="0" w:line="240" w:lineRule="auto"/>
              <w:jc w:val="center"/>
            </w:pPr>
            <w:r>
              <w:rPr>
                <w:rFonts w:ascii="Calibri" w:cs="Calibri" w:eastAsia="Calibri" w:hAnsi="Calibri"/>
                <w:b/>
                <w:bCs/>
                <w:color w:val="FFFFFF"/>
                <w:sz w:val="14"/>
                <w:szCs w:val="14"/>
              </w:rPr>
              <w:t xml:space="preserve">Data Steward IA</w:t>
            </w:r>
          </w:p>
        </w:tc>
      </w:tr>
      <w:tr>
        <w:trPr>
          <w:cantSplit/>
        </w:trPr>
        <w:tc>
          <w:tcPr>
            <w:tcW w:w="2246" w:type="dxa"/>
            <w:vAlign w:val="center"/>
          </w:tcPr>
          <w:p>
            <w:pPr>
              <w:keepNext/>
              <w:spacing w:before="0" w:after="0" w:line="240" w:lineRule="auto"/>
              <w:jc w:val="left"/>
            </w:pPr>
            <w:r>
              <w:rPr>
                <w:rFonts w:ascii="Calibri" w:cs="Calibri" w:eastAsia="Calibri" w:hAnsi="Calibri"/>
                <w:b/>
                <w:bCs/>
                <w:color w:val="1F3864"/>
                <w:sz w:val="17"/>
                <w:szCs w:val="17"/>
              </w:rPr>
              <w:t xml:space="preserve">Définir la stratégie de gouvernance</w:t>
            </w:r>
          </w:p>
        </w:tc>
        <w:tc>
          <w:tcPr>
            <w:tcW w:w="924" w:type="dxa"/>
            <w:vAlign w:val="center"/>
          </w:tcPr>
          <w:p>
            <w:pPr>
              <w:keepNext/>
              <w:spacing w:before="0" w:after="0" w:line="240" w:lineRule="auto"/>
              <w:jc w:val="center"/>
            </w:pPr>
            <w:r>
              <w:rPr>
                <w:rFonts w:ascii="Calibri" w:cs="Calibri" w:eastAsia="Calibri" w:hAnsi="Calibri"/>
                <w:b/>
                <w:bCs/>
                <w:color w:val="1F3864"/>
                <w:sz w:val="17"/>
                <w:szCs w:val="17"/>
              </w:rPr>
              <w:t xml:space="preserve">A/R</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C</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C</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C</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C</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C</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I</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I</w:t>
            </w:r>
          </w:p>
        </w:tc>
      </w:tr>
      <w:tr>
        <w:trPr>
          <w:cantSplit/>
        </w:trPr>
        <w:tc>
          <w:tcPr>
            <w:tcW w:w="2246" w:type="dxa"/>
            <w:shd w:val="clear" w:color="auto" w:fill="F2F6FB"/>
            <w:vAlign w:val="center"/>
          </w:tcPr>
          <w:p>
            <w:pPr>
              <w:keepNext/>
              <w:spacing w:before="0" w:after="0" w:line="240" w:lineRule="auto"/>
              <w:jc w:val="left"/>
            </w:pPr>
            <w:r>
              <w:rPr>
                <w:rFonts w:ascii="Calibri" w:cs="Calibri" w:eastAsia="Calibri" w:hAnsi="Calibri"/>
                <w:b/>
                <w:bCs/>
                <w:color w:val="1F3864"/>
                <w:sz w:val="17"/>
                <w:szCs w:val="17"/>
              </w:rPr>
              <w:t xml:space="preserve">Examiner et valider les politiques et standards</w:t>
            </w:r>
          </w:p>
        </w:tc>
        <w:tc>
          <w:tcPr>
            <w:tcW w:w="924" w:type="dxa"/>
            <w:shd w:val="clear" w:color="auto" w:fill="F2F6FB"/>
            <w:vAlign w:val="center"/>
          </w:tcPr>
          <w:p>
            <w:pPr>
              <w:keepNext/>
              <w:spacing w:before="0" w:after="0" w:line="240" w:lineRule="auto"/>
              <w:jc w:val="center"/>
            </w:pPr>
            <w:r>
              <w:rPr>
                <w:rFonts w:ascii="Calibri" w:cs="Calibri" w:eastAsia="Calibri" w:hAnsi="Calibri"/>
                <w:b/>
                <w:bCs/>
                <w:color w:val="1F3864"/>
                <w:sz w:val="17"/>
                <w:szCs w:val="17"/>
              </w:rPr>
              <w:t xml:space="preserve">A</w:t>
            </w:r>
          </w:p>
        </w:tc>
        <w:tc>
          <w:tcPr>
            <w:tcW w:w="924" w:type="dxa"/>
            <w:shd w:val="clear" w:color="auto" w:fill="F2F6FB"/>
            <w:vAlign w:val="center"/>
          </w:tcPr>
          <w:p>
            <w:pPr>
              <w:keepNext/>
              <w:spacing w:before="0" w:after="0" w:line="240" w:lineRule="auto"/>
              <w:jc w:val="center"/>
            </w:pPr>
            <w:r>
              <w:rPr>
                <w:rFonts w:ascii="Calibri" w:cs="Calibri" w:eastAsia="Calibri" w:hAnsi="Calibri"/>
                <w:color w:val="1A1A1A"/>
                <w:sz w:val="17"/>
                <w:szCs w:val="17"/>
              </w:rPr>
              <w:t xml:space="preserve">R</w:t>
            </w:r>
          </w:p>
        </w:tc>
        <w:tc>
          <w:tcPr>
            <w:tcW w:w="924" w:type="dxa"/>
            <w:shd w:val="clear" w:color="auto" w:fill="F2F6FB"/>
            <w:vAlign w:val="center"/>
          </w:tcPr>
          <w:p>
            <w:pPr>
              <w:keepNext/>
              <w:spacing w:before="0" w:after="0" w:line="240" w:lineRule="auto"/>
              <w:jc w:val="center"/>
            </w:pPr>
            <w:r>
              <w:rPr>
                <w:rFonts w:ascii="Calibri" w:cs="Calibri" w:eastAsia="Calibri" w:hAnsi="Calibri"/>
                <w:color w:val="1A1A1A"/>
                <w:sz w:val="17"/>
                <w:szCs w:val="17"/>
              </w:rPr>
              <w:t xml:space="preserve">C</w:t>
            </w:r>
          </w:p>
        </w:tc>
        <w:tc>
          <w:tcPr>
            <w:tcW w:w="924" w:type="dxa"/>
            <w:shd w:val="clear" w:color="auto" w:fill="F2F6FB"/>
            <w:vAlign w:val="center"/>
          </w:tcPr>
          <w:p>
            <w:pPr>
              <w:keepNext/>
              <w:spacing w:before="0" w:after="0" w:line="240" w:lineRule="auto"/>
              <w:jc w:val="center"/>
            </w:pPr>
            <w:r>
              <w:rPr>
                <w:rFonts w:ascii="Calibri" w:cs="Calibri" w:eastAsia="Calibri" w:hAnsi="Calibri"/>
                <w:color w:val="1A1A1A"/>
                <w:sz w:val="17"/>
                <w:szCs w:val="17"/>
              </w:rPr>
              <w:t xml:space="preserve">C</w:t>
            </w:r>
          </w:p>
        </w:tc>
        <w:tc>
          <w:tcPr>
            <w:tcW w:w="924" w:type="dxa"/>
            <w:shd w:val="clear" w:color="auto" w:fill="F2F6FB"/>
            <w:vAlign w:val="center"/>
          </w:tcPr>
          <w:p>
            <w:pPr>
              <w:keepNext/>
              <w:spacing w:before="0" w:after="0" w:line="240" w:lineRule="auto"/>
              <w:jc w:val="center"/>
            </w:pPr>
            <w:r>
              <w:rPr>
                <w:rFonts w:ascii="Calibri" w:cs="Calibri" w:eastAsia="Calibri" w:hAnsi="Calibri"/>
                <w:color w:val="1A1A1A"/>
                <w:sz w:val="17"/>
                <w:szCs w:val="17"/>
              </w:rPr>
              <w:t xml:space="preserve">C</w:t>
            </w:r>
          </w:p>
        </w:tc>
        <w:tc>
          <w:tcPr>
            <w:tcW w:w="924" w:type="dxa"/>
            <w:shd w:val="clear" w:color="auto" w:fill="F2F6FB"/>
            <w:vAlign w:val="center"/>
          </w:tcPr>
          <w:p>
            <w:pPr>
              <w:keepNext/>
              <w:spacing w:before="0" w:after="0" w:line="240" w:lineRule="auto"/>
              <w:jc w:val="center"/>
            </w:pPr>
            <w:r>
              <w:rPr>
                <w:rFonts w:ascii="Calibri" w:cs="Calibri" w:eastAsia="Calibri" w:hAnsi="Calibri"/>
                <w:color w:val="1A1A1A"/>
                <w:sz w:val="17"/>
                <w:szCs w:val="17"/>
              </w:rPr>
              <w:t xml:space="preserve">C</w:t>
            </w:r>
          </w:p>
        </w:tc>
        <w:tc>
          <w:tcPr>
            <w:tcW w:w="924" w:type="dxa"/>
            <w:shd w:val="clear" w:color="auto" w:fill="F2F6FB"/>
            <w:vAlign w:val="center"/>
          </w:tcPr>
          <w:p>
            <w:pPr>
              <w:keepNext/>
              <w:spacing w:before="0" w:after="0" w:line="240" w:lineRule="auto"/>
              <w:jc w:val="center"/>
            </w:pPr>
            <w:r>
              <w:rPr>
                <w:rFonts w:ascii="Calibri" w:cs="Calibri" w:eastAsia="Calibri" w:hAnsi="Calibri"/>
                <w:color w:val="1A1A1A"/>
                <w:sz w:val="17"/>
                <w:szCs w:val="17"/>
              </w:rPr>
              <w:t xml:space="preserve">I</w:t>
            </w:r>
          </w:p>
        </w:tc>
        <w:tc>
          <w:tcPr>
            <w:tcW w:w="924" w:type="dxa"/>
            <w:shd w:val="clear" w:color="auto" w:fill="F2F6FB"/>
            <w:vAlign w:val="center"/>
          </w:tcPr>
          <w:p>
            <w:pPr>
              <w:keepNext/>
              <w:spacing w:before="0" w:after="0" w:line="240" w:lineRule="auto"/>
              <w:jc w:val="center"/>
            </w:pPr>
            <w:r>
              <w:rPr>
                <w:rFonts w:ascii="Calibri" w:cs="Calibri" w:eastAsia="Calibri" w:hAnsi="Calibri"/>
                <w:color w:val="1A1A1A"/>
                <w:sz w:val="17"/>
                <w:szCs w:val="17"/>
              </w:rPr>
              <w:t xml:space="preserve">I</w:t>
            </w:r>
          </w:p>
        </w:tc>
      </w:tr>
      <w:tr>
        <w:trPr>
          <w:cantSplit/>
        </w:trPr>
        <w:tc>
          <w:tcPr>
            <w:tcW w:w="2246" w:type="dxa"/>
            <w:vAlign w:val="center"/>
          </w:tcPr>
          <w:p>
            <w:pPr>
              <w:keepNext/>
              <w:spacing w:before="0" w:after="0" w:line="240" w:lineRule="auto"/>
              <w:jc w:val="left"/>
            </w:pPr>
            <w:r>
              <w:rPr>
                <w:rFonts w:ascii="Calibri" w:cs="Calibri" w:eastAsia="Calibri" w:hAnsi="Calibri"/>
                <w:b/>
                <w:bCs/>
                <w:color w:val="1F3864"/>
                <w:sz w:val="17"/>
                <w:szCs w:val="17"/>
              </w:rPr>
              <w:t xml:space="preserve">Fixer les exigences de qualité d'un domaine (indicateur, seuil)</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I</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I</w:t>
            </w:r>
          </w:p>
        </w:tc>
        <w:tc>
          <w:tcPr>
            <w:tcW w:w="924" w:type="dxa"/>
            <w:vAlign w:val="center"/>
          </w:tcPr>
          <w:p>
            <w:pPr>
              <w:keepNext/>
              <w:spacing w:before="0" w:after="0" w:line="240" w:lineRule="auto"/>
              <w:jc w:val="center"/>
            </w:pPr>
          </w:p>
        </w:tc>
        <w:tc>
          <w:tcPr>
            <w:tcW w:w="924" w:type="dxa"/>
            <w:vAlign w:val="center"/>
          </w:tcPr>
          <w:p>
            <w:pPr>
              <w:keepNext/>
              <w:spacing w:before="0" w:after="0" w:line="240" w:lineRule="auto"/>
              <w:jc w:val="center"/>
            </w:pPr>
          </w:p>
        </w:tc>
        <w:tc>
          <w:tcPr>
            <w:tcW w:w="924" w:type="dxa"/>
            <w:vAlign w:val="center"/>
          </w:tcPr>
          <w:p>
            <w:pPr>
              <w:keepNext/>
              <w:spacing w:before="0" w:after="0" w:line="240" w:lineRule="auto"/>
              <w:jc w:val="center"/>
            </w:pPr>
            <w:r>
              <w:rPr>
                <w:rFonts w:ascii="Calibri" w:cs="Calibri" w:eastAsia="Calibri" w:hAnsi="Calibri"/>
                <w:b/>
                <w:bCs/>
                <w:color w:val="1F3864"/>
                <w:sz w:val="17"/>
                <w:szCs w:val="17"/>
              </w:rPr>
              <w:t xml:space="preserve">A</w:t>
            </w:r>
          </w:p>
        </w:tc>
        <w:tc>
          <w:tcPr>
            <w:tcW w:w="924" w:type="dxa"/>
            <w:vAlign w:val="center"/>
          </w:tcPr>
          <w:p>
            <w:pPr>
              <w:keepNext/>
              <w:spacing w:before="0" w:after="0" w:line="240" w:lineRule="auto"/>
              <w:jc w:val="center"/>
            </w:pP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R</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C</w:t>
            </w:r>
          </w:p>
        </w:tc>
      </w:tr>
      <w:tr>
        <w:trPr>
          <w:cantSplit/>
        </w:trPr>
        <w:tc>
          <w:tcPr>
            <w:tcW w:w="2246" w:type="dxa"/>
            <w:shd w:val="clear" w:color="auto" w:fill="F2F6FB"/>
            <w:vAlign w:val="center"/>
          </w:tcPr>
          <w:p>
            <w:pPr>
              <w:keepNext/>
              <w:spacing w:before="0" w:after="0" w:line="240" w:lineRule="auto"/>
              <w:jc w:val="left"/>
            </w:pPr>
            <w:r>
              <w:rPr>
                <w:rFonts w:ascii="Calibri" w:cs="Calibri" w:eastAsia="Calibri" w:hAnsi="Calibri"/>
                <w:b/>
                <w:bCs/>
                <w:color w:val="1F3864"/>
                <w:sz w:val="17"/>
                <w:szCs w:val="17"/>
              </w:rPr>
              <w:t xml:space="preserve">Profiler et corriger les données (remédiation)</w:t>
            </w:r>
          </w:p>
        </w:tc>
        <w:tc>
          <w:tcPr>
            <w:tcW w:w="924" w:type="dxa"/>
            <w:shd w:val="clear" w:color="auto" w:fill="F2F6FB"/>
            <w:vAlign w:val="center"/>
          </w:tcPr>
          <w:p>
            <w:pPr>
              <w:keepNext/>
              <w:spacing w:before="0" w:after="0" w:line="240" w:lineRule="auto"/>
              <w:jc w:val="center"/>
            </w:pPr>
            <w:r>
              <w:rPr>
                <w:rFonts w:ascii="Calibri" w:cs="Calibri" w:eastAsia="Calibri" w:hAnsi="Calibri"/>
                <w:color w:val="1A1A1A"/>
                <w:sz w:val="17"/>
                <w:szCs w:val="17"/>
              </w:rPr>
              <w:t xml:space="preserve">I</w:t>
            </w:r>
          </w:p>
        </w:tc>
        <w:tc>
          <w:tcPr>
            <w:tcW w:w="924" w:type="dxa"/>
            <w:shd w:val="clear" w:color="auto" w:fill="F2F6FB"/>
            <w:vAlign w:val="center"/>
          </w:tcPr>
          <w:p>
            <w:pPr>
              <w:keepNext/>
              <w:spacing w:before="0" w:after="0" w:line="240" w:lineRule="auto"/>
              <w:jc w:val="center"/>
            </w:pPr>
          </w:p>
        </w:tc>
        <w:tc>
          <w:tcPr>
            <w:tcW w:w="924" w:type="dxa"/>
            <w:shd w:val="clear" w:color="auto" w:fill="F2F6FB"/>
            <w:vAlign w:val="center"/>
          </w:tcPr>
          <w:p>
            <w:pPr>
              <w:keepNext/>
              <w:spacing w:before="0" w:after="0" w:line="240" w:lineRule="auto"/>
              <w:jc w:val="center"/>
            </w:pPr>
          </w:p>
        </w:tc>
        <w:tc>
          <w:tcPr>
            <w:tcW w:w="924" w:type="dxa"/>
            <w:shd w:val="clear" w:color="auto" w:fill="F2F6FB"/>
            <w:vAlign w:val="center"/>
          </w:tcPr>
          <w:p>
            <w:pPr>
              <w:keepNext/>
              <w:spacing w:before="0" w:after="0" w:line="240" w:lineRule="auto"/>
              <w:jc w:val="center"/>
            </w:pPr>
          </w:p>
        </w:tc>
        <w:tc>
          <w:tcPr>
            <w:tcW w:w="924" w:type="dxa"/>
            <w:shd w:val="clear" w:color="auto" w:fill="F2F6FB"/>
            <w:vAlign w:val="center"/>
          </w:tcPr>
          <w:p>
            <w:pPr>
              <w:keepNext/>
              <w:spacing w:before="0" w:after="0" w:line="240" w:lineRule="auto"/>
              <w:jc w:val="center"/>
            </w:pPr>
            <w:r>
              <w:rPr>
                <w:rFonts w:ascii="Calibri" w:cs="Calibri" w:eastAsia="Calibri" w:hAnsi="Calibri"/>
                <w:b/>
                <w:bCs/>
                <w:color w:val="1F3864"/>
                <w:sz w:val="17"/>
                <w:szCs w:val="17"/>
              </w:rPr>
              <w:t xml:space="preserve">A</w:t>
            </w:r>
          </w:p>
        </w:tc>
        <w:tc>
          <w:tcPr>
            <w:tcW w:w="924" w:type="dxa"/>
            <w:shd w:val="clear" w:color="auto" w:fill="F2F6FB"/>
            <w:vAlign w:val="center"/>
          </w:tcPr>
          <w:p>
            <w:pPr>
              <w:keepNext/>
              <w:spacing w:before="0" w:after="0" w:line="240" w:lineRule="auto"/>
              <w:jc w:val="center"/>
            </w:pPr>
            <w:r>
              <w:rPr>
                <w:rFonts w:ascii="Calibri" w:cs="Calibri" w:eastAsia="Calibri" w:hAnsi="Calibri"/>
                <w:color w:val="1A1A1A"/>
                <w:sz w:val="17"/>
                <w:szCs w:val="17"/>
              </w:rPr>
              <w:t xml:space="preserve">C</w:t>
            </w:r>
          </w:p>
        </w:tc>
        <w:tc>
          <w:tcPr>
            <w:tcW w:w="924" w:type="dxa"/>
            <w:shd w:val="clear" w:color="auto" w:fill="F2F6FB"/>
            <w:vAlign w:val="center"/>
          </w:tcPr>
          <w:p>
            <w:pPr>
              <w:keepNext/>
              <w:spacing w:before="0" w:after="0" w:line="240" w:lineRule="auto"/>
              <w:jc w:val="center"/>
            </w:pPr>
            <w:r>
              <w:rPr>
                <w:rFonts w:ascii="Calibri" w:cs="Calibri" w:eastAsia="Calibri" w:hAnsi="Calibri"/>
                <w:color w:val="1A1A1A"/>
                <w:sz w:val="17"/>
                <w:szCs w:val="17"/>
              </w:rPr>
              <w:t xml:space="preserve">R</w:t>
            </w:r>
          </w:p>
        </w:tc>
        <w:tc>
          <w:tcPr>
            <w:tcW w:w="924" w:type="dxa"/>
            <w:shd w:val="clear" w:color="auto" w:fill="F2F6FB"/>
            <w:vAlign w:val="center"/>
          </w:tcPr>
          <w:p>
            <w:pPr>
              <w:keepNext/>
              <w:spacing w:before="0" w:after="0" w:line="240" w:lineRule="auto"/>
              <w:jc w:val="center"/>
            </w:pPr>
          </w:p>
        </w:tc>
      </w:tr>
      <w:tr>
        <w:trPr>
          <w:cantSplit/>
        </w:trPr>
        <w:tc>
          <w:tcPr>
            <w:tcW w:w="2246" w:type="dxa"/>
            <w:vAlign w:val="center"/>
          </w:tcPr>
          <w:p>
            <w:pPr>
              <w:keepNext/>
              <w:spacing w:before="0" w:after="0" w:line="240" w:lineRule="auto"/>
              <w:jc w:val="left"/>
            </w:pPr>
            <w:r>
              <w:rPr>
                <w:rFonts w:ascii="Calibri" w:cs="Calibri" w:eastAsia="Calibri" w:hAnsi="Calibri"/>
                <w:b/>
                <w:bCs/>
                <w:color w:val="1F3864"/>
                <w:sz w:val="17"/>
                <w:szCs w:val="17"/>
              </w:rPr>
              <w:t xml:space="preserve">Attribuer les droits d'accès (RBAC, moindre privilège)</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I</w:t>
            </w:r>
          </w:p>
        </w:tc>
        <w:tc>
          <w:tcPr>
            <w:tcW w:w="924" w:type="dxa"/>
            <w:vAlign w:val="center"/>
          </w:tcPr>
          <w:p>
            <w:pPr>
              <w:keepNext/>
              <w:spacing w:before="0" w:after="0" w:line="240" w:lineRule="auto"/>
              <w:jc w:val="center"/>
            </w:pP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C</w:t>
            </w:r>
          </w:p>
        </w:tc>
        <w:tc>
          <w:tcPr>
            <w:tcW w:w="924" w:type="dxa"/>
            <w:vAlign w:val="center"/>
          </w:tcPr>
          <w:p>
            <w:pPr>
              <w:keepNext/>
              <w:spacing w:before="0" w:after="0" w:line="240" w:lineRule="auto"/>
              <w:jc w:val="center"/>
            </w:pPr>
          </w:p>
        </w:tc>
        <w:tc>
          <w:tcPr>
            <w:tcW w:w="924" w:type="dxa"/>
            <w:vAlign w:val="center"/>
          </w:tcPr>
          <w:p>
            <w:pPr>
              <w:keepNext/>
              <w:spacing w:before="0" w:after="0" w:line="240" w:lineRule="auto"/>
              <w:jc w:val="center"/>
            </w:pPr>
            <w:r>
              <w:rPr>
                <w:rFonts w:ascii="Calibri" w:cs="Calibri" w:eastAsia="Calibri" w:hAnsi="Calibri"/>
                <w:b/>
                <w:bCs/>
                <w:color w:val="1F3864"/>
                <w:sz w:val="17"/>
                <w:szCs w:val="17"/>
              </w:rPr>
              <w:t xml:space="preserve">A</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R</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R</w:t>
            </w:r>
          </w:p>
        </w:tc>
        <w:tc>
          <w:tcPr>
            <w:tcW w:w="924" w:type="dxa"/>
            <w:vAlign w:val="center"/>
          </w:tcPr>
          <w:p>
            <w:pPr>
              <w:keepNext/>
              <w:spacing w:before="0" w:after="0" w:line="240" w:lineRule="auto"/>
              <w:jc w:val="center"/>
            </w:pPr>
          </w:p>
        </w:tc>
      </w:tr>
      <w:tr>
        <w:trPr>
          <w:cantSplit/>
        </w:trPr>
        <w:tc>
          <w:tcPr>
            <w:tcW w:w="2246" w:type="dxa"/>
            <w:shd w:val="clear" w:color="auto" w:fill="F2F6FB"/>
            <w:vAlign w:val="center"/>
          </w:tcPr>
          <w:p>
            <w:pPr>
              <w:keepNext/>
              <w:spacing w:before="0" w:after="0" w:line="240" w:lineRule="auto"/>
              <w:jc w:val="left"/>
            </w:pPr>
            <w:r>
              <w:rPr>
                <w:rFonts w:ascii="Calibri" w:cs="Calibri" w:eastAsia="Calibri" w:hAnsi="Calibri"/>
                <w:b/>
                <w:bCs/>
                <w:color w:val="1F3864"/>
                <w:sz w:val="17"/>
                <w:szCs w:val="17"/>
              </w:rPr>
              <w:t xml:space="preserve">Sécuriser l'infrastructure (chiffrement, journalisation, PCI-DSS)</w:t>
            </w:r>
          </w:p>
        </w:tc>
        <w:tc>
          <w:tcPr>
            <w:tcW w:w="924" w:type="dxa"/>
            <w:shd w:val="clear" w:color="auto" w:fill="F2F6FB"/>
            <w:vAlign w:val="center"/>
          </w:tcPr>
          <w:p>
            <w:pPr>
              <w:keepNext/>
              <w:spacing w:before="0" w:after="0" w:line="240" w:lineRule="auto"/>
              <w:jc w:val="center"/>
            </w:pPr>
            <w:r>
              <w:rPr>
                <w:rFonts w:ascii="Calibri" w:cs="Calibri" w:eastAsia="Calibri" w:hAnsi="Calibri"/>
                <w:color w:val="1A1A1A"/>
                <w:sz w:val="17"/>
                <w:szCs w:val="17"/>
              </w:rPr>
              <w:t xml:space="preserve">I</w:t>
            </w:r>
          </w:p>
        </w:tc>
        <w:tc>
          <w:tcPr>
            <w:tcW w:w="924" w:type="dxa"/>
            <w:shd w:val="clear" w:color="auto" w:fill="F2F6FB"/>
            <w:vAlign w:val="center"/>
          </w:tcPr>
          <w:p>
            <w:pPr>
              <w:keepNext/>
              <w:spacing w:before="0" w:after="0" w:line="240" w:lineRule="auto"/>
              <w:jc w:val="center"/>
            </w:pPr>
          </w:p>
        </w:tc>
        <w:tc>
          <w:tcPr>
            <w:tcW w:w="924" w:type="dxa"/>
            <w:shd w:val="clear" w:color="auto" w:fill="F2F6FB"/>
            <w:vAlign w:val="center"/>
          </w:tcPr>
          <w:p>
            <w:pPr>
              <w:keepNext/>
              <w:spacing w:before="0" w:after="0" w:line="240" w:lineRule="auto"/>
              <w:jc w:val="center"/>
            </w:pPr>
            <w:r>
              <w:rPr>
                <w:rFonts w:ascii="Calibri" w:cs="Calibri" w:eastAsia="Calibri" w:hAnsi="Calibri"/>
                <w:color w:val="1A1A1A"/>
                <w:sz w:val="17"/>
                <w:szCs w:val="17"/>
              </w:rPr>
              <w:t xml:space="preserve">C</w:t>
            </w:r>
          </w:p>
        </w:tc>
        <w:tc>
          <w:tcPr>
            <w:tcW w:w="924" w:type="dxa"/>
            <w:shd w:val="clear" w:color="auto" w:fill="F2F6FB"/>
            <w:vAlign w:val="center"/>
          </w:tcPr>
          <w:p>
            <w:pPr>
              <w:keepNext/>
              <w:spacing w:before="0" w:after="0" w:line="240" w:lineRule="auto"/>
              <w:jc w:val="center"/>
            </w:pPr>
            <w:r>
              <w:rPr>
                <w:rFonts w:ascii="Calibri" w:cs="Calibri" w:eastAsia="Calibri" w:hAnsi="Calibri"/>
                <w:color w:val="1A1A1A"/>
                <w:sz w:val="17"/>
                <w:szCs w:val="17"/>
              </w:rPr>
              <w:t xml:space="preserve">C</w:t>
            </w:r>
          </w:p>
        </w:tc>
        <w:tc>
          <w:tcPr>
            <w:tcW w:w="924" w:type="dxa"/>
            <w:shd w:val="clear" w:color="auto" w:fill="F2F6FB"/>
            <w:vAlign w:val="center"/>
          </w:tcPr>
          <w:p>
            <w:pPr>
              <w:keepNext/>
              <w:spacing w:before="0" w:after="0" w:line="240" w:lineRule="auto"/>
              <w:jc w:val="center"/>
            </w:pPr>
          </w:p>
        </w:tc>
        <w:tc>
          <w:tcPr>
            <w:tcW w:w="924" w:type="dxa"/>
            <w:shd w:val="clear" w:color="auto" w:fill="F2F6FB"/>
            <w:vAlign w:val="center"/>
          </w:tcPr>
          <w:p>
            <w:pPr>
              <w:keepNext/>
              <w:spacing w:before="0" w:after="0" w:line="240" w:lineRule="auto"/>
              <w:jc w:val="center"/>
            </w:pPr>
            <w:r>
              <w:rPr>
                <w:rFonts w:ascii="Calibri" w:cs="Calibri" w:eastAsia="Calibri" w:hAnsi="Calibri"/>
                <w:b/>
                <w:bCs/>
                <w:color w:val="1F3864"/>
                <w:sz w:val="17"/>
                <w:szCs w:val="17"/>
              </w:rPr>
              <w:t xml:space="preserve">A/R</w:t>
            </w:r>
          </w:p>
        </w:tc>
        <w:tc>
          <w:tcPr>
            <w:tcW w:w="924" w:type="dxa"/>
            <w:shd w:val="clear" w:color="auto" w:fill="F2F6FB"/>
            <w:vAlign w:val="center"/>
          </w:tcPr>
          <w:p>
            <w:pPr>
              <w:keepNext/>
              <w:spacing w:before="0" w:after="0" w:line="240" w:lineRule="auto"/>
              <w:jc w:val="center"/>
            </w:pPr>
            <w:r>
              <w:rPr>
                <w:rFonts w:ascii="Calibri" w:cs="Calibri" w:eastAsia="Calibri" w:hAnsi="Calibri"/>
                <w:color w:val="1A1A1A"/>
                <w:sz w:val="17"/>
                <w:szCs w:val="17"/>
              </w:rPr>
              <w:t xml:space="preserve">I</w:t>
            </w:r>
          </w:p>
        </w:tc>
        <w:tc>
          <w:tcPr>
            <w:tcW w:w="924" w:type="dxa"/>
            <w:shd w:val="clear" w:color="auto" w:fill="F2F6FB"/>
            <w:vAlign w:val="center"/>
          </w:tcPr>
          <w:p>
            <w:pPr>
              <w:keepNext/>
              <w:spacing w:before="0" w:after="0" w:line="240" w:lineRule="auto"/>
              <w:jc w:val="center"/>
            </w:pPr>
          </w:p>
        </w:tc>
      </w:tr>
      <w:tr>
        <w:trPr>
          <w:cantSplit/>
        </w:trPr>
        <w:tc>
          <w:tcPr>
            <w:tcW w:w="2246" w:type="dxa"/>
            <w:vAlign w:val="center"/>
          </w:tcPr>
          <w:p>
            <w:pPr>
              <w:keepNext/>
              <w:spacing w:before="0" w:after="0" w:line="240" w:lineRule="auto"/>
              <w:jc w:val="left"/>
            </w:pPr>
            <w:r>
              <w:rPr>
                <w:rFonts w:ascii="Calibri" w:cs="Calibri" w:eastAsia="Calibri" w:hAnsi="Calibri"/>
                <w:b/>
                <w:bCs/>
                <w:color w:val="1F3864"/>
                <w:sz w:val="17"/>
                <w:szCs w:val="17"/>
              </w:rPr>
              <w:t xml:space="preserve">Contrôler la conformité RGPD et CCPA (audits, écarts)</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I</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I</w:t>
            </w:r>
          </w:p>
        </w:tc>
        <w:tc>
          <w:tcPr>
            <w:tcW w:w="924" w:type="dxa"/>
            <w:vAlign w:val="center"/>
          </w:tcPr>
          <w:p>
            <w:pPr>
              <w:keepNext/>
              <w:spacing w:before="0" w:after="0" w:line="240" w:lineRule="auto"/>
              <w:jc w:val="center"/>
            </w:pPr>
            <w:r>
              <w:rPr>
                <w:rFonts w:ascii="Calibri" w:cs="Calibri" w:eastAsia="Calibri" w:hAnsi="Calibri"/>
                <w:b/>
                <w:bCs/>
                <w:color w:val="1F3864"/>
                <w:sz w:val="17"/>
                <w:szCs w:val="17"/>
              </w:rPr>
              <w:t xml:space="preserve">A/R</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C</w:t>
            </w: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C</w:t>
            </w:r>
          </w:p>
        </w:tc>
        <w:tc>
          <w:tcPr>
            <w:tcW w:w="924" w:type="dxa"/>
            <w:vAlign w:val="center"/>
          </w:tcPr>
          <w:p>
            <w:pPr>
              <w:keepNext/>
              <w:spacing w:before="0" w:after="0" w:line="240" w:lineRule="auto"/>
              <w:jc w:val="center"/>
            </w:pPr>
          </w:p>
        </w:tc>
        <w:tc>
          <w:tcPr>
            <w:tcW w:w="924" w:type="dxa"/>
            <w:vAlign w:val="center"/>
          </w:tcPr>
          <w:p>
            <w:pPr>
              <w:keepNext/>
              <w:spacing w:before="0" w:after="0" w:line="240" w:lineRule="auto"/>
              <w:jc w:val="center"/>
            </w:pPr>
            <w:r>
              <w:rPr>
                <w:rFonts w:ascii="Calibri" w:cs="Calibri" w:eastAsia="Calibri" w:hAnsi="Calibri"/>
                <w:color w:val="1A1A1A"/>
                <w:sz w:val="17"/>
                <w:szCs w:val="17"/>
              </w:rPr>
              <w:t xml:space="preserve">C</w:t>
            </w:r>
          </w:p>
        </w:tc>
        <w:tc>
          <w:tcPr>
            <w:tcW w:w="924" w:type="dxa"/>
            <w:vAlign w:val="center"/>
          </w:tcPr>
          <w:p>
            <w:pPr>
              <w:keepNext/>
              <w:spacing w:before="0" w:after="0" w:line="240" w:lineRule="auto"/>
              <w:jc w:val="center"/>
            </w:pPr>
          </w:p>
        </w:tc>
      </w:tr>
      <w:tr>
        <w:trPr>
          <w:cantSplit/>
        </w:trPr>
        <w:tc>
          <w:tcPr>
            <w:tcW w:w="2246" w:type="dxa"/>
            <w:shd w:val="clear" w:color="auto" w:fill="F2F6FB"/>
            <w:vAlign w:val="center"/>
          </w:tcPr>
          <w:p>
            <w:pPr>
              <w:spacing w:before="0" w:after="0" w:line="240" w:lineRule="auto"/>
              <w:jc w:val="left"/>
            </w:pPr>
            <w:r>
              <w:rPr>
                <w:rFonts w:ascii="Calibri" w:cs="Calibri" w:eastAsia="Calibri" w:hAnsi="Calibri"/>
                <w:b/>
                <w:bCs/>
                <w:color w:val="1F3864"/>
                <w:sz w:val="17"/>
                <w:szCs w:val="17"/>
              </w:rPr>
              <w:t xml:space="preserve">Surveiller les biais et les données d'entraînement de l'IA</w:t>
            </w:r>
          </w:p>
        </w:tc>
        <w:tc>
          <w:tcPr>
            <w:tcW w:w="924" w:type="dxa"/>
            <w:shd w:val="clear" w:color="auto" w:fill="F2F6FB"/>
            <w:vAlign w:val="center"/>
          </w:tcPr>
          <w:p>
            <w:pPr>
              <w:spacing w:before="0" w:after="0" w:line="240" w:lineRule="auto"/>
              <w:jc w:val="center"/>
            </w:pPr>
            <w:r>
              <w:rPr>
                <w:rFonts w:ascii="Calibri" w:cs="Calibri" w:eastAsia="Calibri" w:hAnsi="Calibri"/>
                <w:color w:val="1A1A1A"/>
                <w:sz w:val="17"/>
                <w:szCs w:val="17"/>
              </w:rPr>
              <w:t xml:space="preserve">I</w:t>
            </w:r>
          </w:p>
        </w:tc>
        <w:tc>
          <w:tcPr>
            <w:tcW w:w="924" w:type="dxa"/>
            <w:shd w:val="clear" w:color="auto" w:fill="F2F6FB"/>
            <w:vAlign w:val="center"/>
          </w:tcPr>
          <w:p>
            <w:pPr>
              <w:spacing w:before="0" w:after="0" w:line="240" w:lineRule="auto"/>
              <w:jc w:val="center"/>
            </w:pPr>
            <w:r>
              <w:rPr>
                <w:rFonts w:ascii="Calibri" w:cs="Calibri" w:eastAsia="Calibri" w:hAnsi="Calibri"/>
                <w:color w:val="1A1A1A"/>
                <w:sz w:val="17"/>
                <w:szCs w:val="17"/>
              </w:rPr>
              <w:t xml:space="preserve">I</w:t>
            </w:r>
          </w:p>
        </w:tc>
        <w:tc>
          <w:tcPr>
            <w:tcW w:w="924" w:type="dxa"/>
            <w:shd w:val="clear" w:color="auto" w:fill="F2F6FB"/>
            <w:vAlign w:val="center"/>
          </w:tcPr>
          <w:p>
            <w:pPr>
              <w:spacing w:before="0" w:after="0" w:line="240" w:lineRule="auto"/>
              <w:jc w:val="center"/>
            </w:pPr>
            <w:r>
              <w:rPr>
                <w:rFonts w:ascii="Calibri" w:cs="Calibri" w:eastAsia="Calibri" w:hAnsi="Calibri"/>
                <w:color w:val="1A1A1A"/>
                <w:sz w:val="17"/>
                <w:szCs w:val="17"/>
              </w:rPr>
              <w:t xml:space="preserve">C</w:t>
            </w:r>
          </w:p>
        </w:tc>
        <w:tc>
          <w:tcPr>
            <w:tcW w:w="924" w:type="dxa"/>
            <w:shd w:val="clear" w:color="auto" w:fill="F2F6FB"/>
            <w:vAlign w:val="center"/>
          </w:tcPr>
          <w:p>
            <w:pPr>
              <w:spacing w:before="0" w:after="0" w:line="240" w:lineRule="auto"/>
              <w:jc w:val="center"/>
            </w:pPr>
          </w:p>
        </w:tc>
        <w:tc>
          <w:tcPr>
            <w:tcW w:w="924" w:type="dxa"/>
            <w:shd w:val="clear" w:color="auto" w:fill="F2F6FB"/>
            <w:vAlign w:val="center"/>
          </w:tcPr>
          <w:p>
            <w:pPr>
              <w:spacing w:before="0" w:after="0" w:line="240" w:lineRule="auto"/>
              <w:jc w:val="center"/>
            </w:pPr>
            <w:r>
              <w:rPr>
                <w:rFonts w:ascii="Calibri" w:cs="Calibri" w:eastAsia="Calibri" w:hAnsi="Calibri"/>
                <w:color w:val="1A1A1A"/>
                <w:sz w:val="17"/>
                <w:szCs w:val="17"/>
              </w:rPr>
              <w:t xml:space="preserve">C</w:t>
            </w:r>
          </w:p>
        </w:tc>
        <w:tc>
          <w:tcPr>
            <w:tcW w:w="924" w:type="dxa"/>
            <w:shd w:val="clear" w:color="auto" w:fill="F2F6FB"/>
            <w:vAlign w:val="center"/>
          </w:tcPr>
          <w:p>
            <w:pPr>
              <w:spacing w:before="0" w:after="0" w:line="240" w:lineRule="auto"/>
              <w:jc w:val="center"/>
            </w:pPr>
          </w:p>
        </w:tc>
        <w:tc>
          <w:tcPr>
            <w:tcW w:w="924" w:type="dxa"/>
            <w:shd w:val="clear" w:color="auto" w:fill="F2F6FB"/>
            <w:vAlign w:val="center"/>
          </w:tcPr>
          <w:p>
            <w:pPr>
              <w:spacing w:before="0" w:after="0" w:line="240" w:lineRule="auto"/>
              <w:jc w:val="center"/>
            </w:pPr>
          </w:p>
        </w:tc>
        <w:tc>
          <w:tcPr>
            <w:tcW w:w="924" w:type="dxa"/>
            <w:shd w:val="clear" w:color="auto" w:fill="F2F6FB"/>
            <w:vAlign w:val="center"/>
          </w:tcPr>
          <w:p>
            <w:pPr>
              <w:spacing w:before="0" w:after="0" w:line="240" w:lineRule="auto"/>
              <w:jc w:val="center"/>
            </w:pPr>
            <w:r>
              <w:rPr>
                <w:rFonts w:ascii="Calibri" w:cs="Calibri" w:eastAsia="Calibri" w:hAnsi="Calibri"/>
                <w:b/>
                <w:bCs/>
                <w:color w:val="1F3864"/>
                <w:sz w:val="17"/>
                <w:szCs w:val="17"/>
              </w:rPr>
              <w:t xml:space="preserve">A/R</w:t>
            </w:r>
          </w:p>
        </w:tc>
      </w:tr>
    </w:tbl>
    <w:p>
      <w:pPr>
        <w:spacing w:before="80" w:after="40" w:line="240" w:lineRule="auto"/>
        <w:jc w:val="center"/>
      </w:pPr>
      <w:r>
        <w:rPr>
          <w:rFonts w:ascii="Calibri" w:cs="Calibri" w:eastAsia="Calibri" w:hAnsi="Calibri"/>
          <w:i/>
          <w:iCs/>
          <w:color w:val="595959"/>
          <w:sz w:val="16"/>
          <w:szCs w:val="16"/>
        </w:rPr>
        <w:t xml:space="preserve">R : réalise. A : répond du résultat et tranche, un seul par activité. C : consulté. I : informé.</w:t>
      </w:r>
    </w:p>
    <w:p>
      <w:pPr>
        <w:spacing w:before="0" w:after="140" w:line="240" w:lineRule="auto"/>
        <w:jc w:val="center"/>
      </w:pPr>
      <w:r>
        <w:rPr>
          <w:rFonts w:ascii="Calibri" w:cs="Calibri" w:eastAsia="Calibri" w:hAnsi="Calibri"/>
          <w:i/>
          <w:iCs/>
          <w:color w:val="595959"/>
          <w:sz w:val="16"/>
          <w:szCs w:val="16"/>
        </w:rPr>
        <w:t xml:space="preserve">Matrice RACI des activités de gouvernance des données.</w:t>
      </w:r>
    </w:p>
    <w:p w14:paraId="54F1368E" w14:textId="77777777" w:rsidR="006177B0" w:rsidRDefault="00000000">
      <w:pPr>
        <w:pStyle w:val="Titre1"/>
        <w:spacing w:before="240" w:after="100"/>
      </w:pPr>
      <w:r>
        <w:rPr>
          <w:b/>
          <w:bCs/>
          <w:color w:val="1F3864"/>
          <w:sz w:val="26"/>
          <w:szCs w:val="26"/>
        </w:rPr>
        <w:t>4.  Qualité des données</w:t>
      </w:r>
    </w:p>
    <w:p w14:paraId="44C6CAD0" w14:textId="77777777" w:rsidR="006177B0" w:rsidRDefault="00000000">
      <w:pPr>
        <w:spacing w:after="120" w:line="276" w:lineRule="auto"/>
        <w:jc w:val="both"/>
      </w:pPr>
      <w:r>
        <w:rPr>
          <w:color w:val="000000"/>
          <w:sz w:val="22"/>
          <w:szCs w:val="22"/>
        </w:rPr>
        <w:t>La qualité ne se mesure jamais globalement, mais dimension par dimension. Les dimensions retenues sont l'exhaustivité, l'exactitude, la cohérence, la traçabilité de l'origine (lineage) et l'unicité. Deux activités structurent la démarche : le profilage (data profiling), qui évalue l'état des données selon une dimension explicite, et la remédiation (data remediation), qui corrige, nettoie et normalise les données défaillantes.</w:t>
      </w:r>
    </w:p>
    <w:p w14:paraId="195F769D" w14:textId="77777777" w:rsidR="006177B0" w:rsidRDefault="00000000">
      <w:pPr>
        <w:spacing w:after="120" w:line="276" w:lineRule="auto"/>
        <w:jc w:val="both"/>
      </w:pPr>
      <w:r>
        <w:rPr>
          <w:color w:val="000000"/>
          <w:sz w:val="22"/>
          <w:szCs w:val="22"/>
        </w:rPr>
        <w:t>Toute exigence de qualité s'accompagne d'un indicateur chiffré, d'un seuil d'acceptation et d'un responsable désigné. La priorité porte sur les jeux de données qui influencent directement l'expérience utilisateur, à savoir les données alimentant l'algorithme de recommandation et les métadonnées de contenu.</w:t>
      </w:r>
    </w:p>
    <w:p w14:paraId="7E5631D5" w14:textId="77777777" w:rsidR="006177B0" w:rsidRDefault="00000000">
      <w:pPr>
        <w:pStyle w:val="Titre1"/>
        <w:spacing w:before="240" w:after="100"/>
      </w:pPr>
      <w:r>
        <w:rPr>
          <w:b/>
          <w:bCs/>
          <w:color w:val="1F3864"/>
          <w:sz w:val="26"/>
          <w:szCs w:val="26"/>
        </w:rPr>
        <w:t>5.  Conformité réglementaire</w:t>
      </w:r>
    </w:p>
    <w:p w14:paraId="4BC2BF8D" w14:textId="77777777" w:rsidR="006177B0" w:rsidRDefault="00000000">
      <w:pPr>
        <w:spacing w:after="120" w:line="276" w:lineRule="auto"/>
        <w:jc w:val="both"/>
      </w:pPr>
      <w:r>
        <w:rPr>
          <w:color w:val="000000"/>
          <w:sz w:val="22"/>
          <w:szCs w:val="22"/>
        </w:rPr>
        <w:t>Les traitements de Spotify respectent trois cadres. Le RGPD impose le consentement explicite, le droit d'accès, de rectification et de suppression, ainsi que la notification des violations sous 72 heures. Le CCPA garantit aux utilisateurs le droit de connaître, de faire supprimer et de faire corriger leurs données, ainsi que celui de refuser leur vente ou leur partage. La norme PCI-DSS encadre le traitement des informations de paiement.</w:t>
      </w:r>
    </w:p>
    <w:p w14:paraId="093B51C7" w14:textId="77777777" w:rsidR="006177B0" w:rsidRDefault="00000000">
      <w:pPr>
        <w:spacing w:after="120" w:line="276" w:lineRule="auto"/>
        <w:jc w:val="both"/>
      </w:pPr>
      <w:r>
        <w:rPr>
          <w:color w:val="000000"/>
          <w:sz w:val="22"/>
          <w:szCs w:val="22"/>
        </w:rPr>
        <w:t>Compte tenu de l'implantation mondiale de l'entreprise, le cadre s'adapte aux réglementations régionales (par exemple le PDPA à Singapour) tout en maintenant une cohérence d'ensemble. Des audits réguliers, conduits sous la supervision du DPO, mesurent l'écart entre les règles écrites et les pratiques réelles.</w:t>
      </w:r>
    </w:p>
    <w:p w14:paraId="43BCF2B2" w14:textId="77777777" w:rsidR="006177B0" w:rsidRDefault="00000000">
      <w:pPr>
        <w:pStyle w:val="Titre1"/>
        <w:spacing w:before="240" w:after="100"/>
      </w:pPr>
      <w:r>
        <w:rPr>
          <w:b/>
          <w:bCs/>
          <w:color w:val="1F3864"/>
          <w:sz w:val="26"/>
          <w:szCs w:val="26"/>
        </w:rPr>
        <w:t>6.  Sécurité et contrôle d'accès</w:t>
      </w:r>
    </w:p>
    <w:p w14:paraId="42B7615E" w14:textId="77777777" w:rsidR="006177B0" w:rsidRDefault="00000000">
      <w:pPr>
        <w:spacing w:after="120" w:line="276" w:lineRule="auto"/>
        <w:jc w:val="both"/>
      </w:pPr>
      <w:r>
        <w:rPr>
          <w:color w:val="000000"/>
          <w:sz w:val="22"/>
          <w:szCs w:val="22"/>
        </w:rPr>
        <w:t>La sécurité repose sur le principe du moindre privilège : chacun accède à ce qui lui est strictement nécessaire, et à rien de plus. Le contrôle d'accès s'appuie sur les rôles (role-based access control, RBAC), les droits étant attachés à des rôles et non à des individus. Les données sensibles sont chiffrées, les échanges protégés et les consultations journalisées.</w:t>
      </w:r>
    </w:p>
    <w:p w14:paraId="101F30AA" w14:textId="77777777" w:rsidR="006177B0" w:rsidRDefault="00000000">
      <w:pPr>
        <w:spacing w:after="120" w:line="276" w:lineRule="auto"/>
        <w:jc w:val="both"/>
      </w:pPr>
      <w:r>
        <w:rPr>
          <w:color w:val="000000"/>
          <w:sz w:val="22"/>
          <w:szCs w:val="22"/>
        </w:rPr>
        <w:t>L'anonymisation des jeux de données est requise avant tout partage ou toute exploitation secondaire. Un protocole de réponse aux violations définit les actions à mener en cas d'incident.</w:t>
      </w:r>
    </w:p>
    <w:p w14:paraId="179A913F" w14:textId="77777777" w:rsidR="006177B0" w:rsidRDefault="00000000">
      <w:pPr>
        <w:pStyle w:val="Titre1"/>
        <w:spacing w:before="240" w:after="100"/>
      </w:pPr>
      <w:r>
        <w:rPr>
          <w:b/>
          <w:bCs/>
          <w:color w:val="1F3864"/>
          <w:sz w:val="26"/>
          <w:szCs w:val="26"/>
        </w:rPr>
        <w:t>7.  Cycle de vie et classification des données</w:t>
      </w:r>
    </w:p>
    <w:p w14:paraId="1FC2ED2A" w14:textId="77777777" w:rsidR="006177B0" w:rsidRDefault="00000000">
      <w:pPr>
        <w:spacing w:after="120" w:line="276" w:lineRule="auto"/>
        <w:jc w:val="both"/>
      </w:pPr>
      <w:r>
        <w:rPr>
          <w:color w:val="000000"/>
          <w:sz w:val="22"/>
          <w:szCs w:val="22"/>
        </w:rPr>
        <w:lastRenderedPageBreak/>
        <w:t>Chaque donnée est classée selon sa nature : données transactionnelles, données maîtres (master data), données de référence et métadonnées. Cette classification, complétée par un niveau de sensibilité, détermine les exigences de qualité et les droits d'accès applicables.</w:t>
      </w:r>
    </w:p>
    <w:p w14:paraId="14111E7B" w14:textId="77777777" w:rsidR="006177B0" w:rsidRDefault="00000000">
      <w:pPr>
        <w:spacing w:after="120" w:line="276" w:lineRule="auto"/>
        <w:jc w:val="both"/>
      </w:pPr>
      <w:r>
        <w:rPr>
          <w:color w:val="000000"/>
          <w:sz w:val="22"/>
          <w:szCs w:val="22"/>
        </w:rPr>
        <w:t>Le cycle de vie suit le modèle POSMAD : planifier, obtenir, stocker et partager, entretenir, appliquer, puis archiver ou supprimer. Au terme de la durée légale de conservation, les données détaillées sont supprimées et seuls les agrégats nécessaires sont conservés, ce qui réduit aussi l'empreinte de stockage.</w:t>
      </w:r>
    </w:p>
    <w:p w14:paraId="6FCB0D54" w14:textId="77777777" w:rsidR="006177B0" w:rsidRDefault="00000000">
      <w:pPr>
        <w:pStyle w:val="Titre1"/>
        <w:spacing w:before="240" w:after="100"/>
      </w:pPr>
      <w:r>
        <w:rPr>
          <w:b/>
          <w:bCs/>
          <w:color w:val="1F3864"/>
          <w:sz w:val="26"/>
          <w:szCs w:val="26"/>
        </w:rPr>
        <w:t>8.  Gouvernance de l'intelligence artificielle et éthique</w:t>
      </w:r>
    </w:p>
    <w:p w14:paraId="5BCB35A4" w14:textId="77777777" w:rsidR="006177B0" w:rsidRDefault="00000000">
      <w:pPr>
        <w:spacing w:after="120" w:line="276" w:lineRule="auto"/>
        <w:jc w:val="both"/>
      </w:pPr>
      <w:r>
        <w:rPr>
          <w:color w:val="000000"/>
          <w:sz w:val="22"/>
          <w:szCs w:val="22"/>
        </w:rPr>
        <w:t>L'algorithme de recommandation étant au cœur du service, ses usages font l'objet d'une vigilance particulière. Les jeux d'entraînement sont choisis avec soin, car un modèle reproduit et amplifie les biais présents dans ses données. La diversité des équipes qui conçoivent les systèmes constitue le moyen le plus efficace de repérer un biais avant sa mise en production.</w:t>
      </w:r>
    </w:p>
    <w:p w14:paraId="1DD5C499" w14:textId="77777777" w:rsidR="006177B0" w:rsidRDefault="00000000">
      <w:pPr>
        <w:spacing w:after="120" w:line="276" w:lineRule="auto"/>
        <w:jc w:val="both"/>
      </w:pPr>
      <w:r>
        <w:rPr>
          <w:color w:val="000000"/>
          <w:sz w:val="22"/>
          <w:szCs w:val="22"/>
        </w:rPr>
        <w:t>Les systèmes de décision automatisée sont surveillés, explicables et transparents : l'utilisateur est informé lorsqu'il interagit avec un contenu recommandé par une intelligence artificielle. Des lignes directrices éthiques sont intégrées à tout projet de traitement de données ou de développement d'IA.</w:t>
      </w:r>
    </w:p>
    <w:p w14:paraId="2CE3EA44" w14:textId="77777777" w:rsidR="006177B0" w:rsidRDefault="00000000">
      <w:pPr>
        <w:pStyle w:val="Titre1"/>
        <w:spacing w:before="240" w:after="100"/>
      </w:pPr>
      <w:r>
        <w:rPr>
          <w:b/>
          <w:bCs/>
          <w:color w:val="1F3864"/>
          <w:sz w:val="26"/>
          <w:szCs w:val="26"/>
        </w:rPr>
        <w:t>9.  Pilotage, indicateurs et audits</w:t>
      </w:r>
    </w:p>
    <w:p w14:paraId="3E9EED86" w14:textId="77777777" w:rsidR="006177B0" w:rsidRDefault="00000000">
      <w:pPr>
        <w:spacing w:after="120" w:line="276" w:lineRule="auto"/>
        <w:jc w:val="both"/>
      </w:pPr>
      <w:r>
        <w:rPr>
          <w:color w:val="000000"/>
          <w:sz w:val="22"/>
          <w:szCs w:val="22"/>
        </w:rPr>
        <w:t>Un dispositif de gouvernance s'évalue comme le reste : au moyen d'indicateurs chiffrés, d'audits réguliers et d'une veille organisée.</w:t>
      </w:r>
    </w:p>
    <w:p w14:paraId="720AF7B5" w14:textId="77777777" w:rsidR="006177B0" w:rsidRDefault="00000000">
      <w:pPr>
        <w:spacing w:after="120" w:line="276" w:lineRule="auto"/>
        <w:jc w:val="both"/>
      </w:pPr>
      <w:r>
        <w:rPr>
          <w:color w:val="000000"/>
          <w:sz w:val="22"/>
          <w:szCs w:val="22"/>
        </w:rPr>
        <w:t>Les indicateurs de pilotage retenus sont notamment la part des jeux de données critiques dotés d'un propriétaire identifié, la part disposant d'un contrat de données (data contract), le délai moyen de correction d'une anomalie de qualité, et le taux de couverture des systèmes cartographiés au regard de leur niveau de risque.</w:t>
      </w:r>
    </w:p>
    <w:p w14:paraId="29CDC647" w14:textId="77777777" w:rsidR="006177B0" w:rsidRDefault="00000000">
      <w:pPr>
        <w:spacing w:after="120" w:line="276" w:lineRule="auto"/>
        <w:jc w:val="both"/>
      </w:pPr>
      <w:r>
        <w:rPr>
          <w:color w:val="000000"/>
          <w:sz w:val="22"/>
          <w:szCs w:val="22"/>
        </w:rPr>
        <w:t>Des audits réguliers mesurent l'écart entre les règles écrites et les pratiques réelles, et débouchent sur un plan d'amélioration. Une veille sur les évolutions réglementaires et technologiques permet d'anticiper leurs effets plutôt que de les subir. Conformément au principe d'amélioration continue, la présente politique fait l'objet d'une révision périodique intégrant les retours d'expérience et les nouvelles bonnes pratiques.</w:t>
      </w:r>
    </w:p>
    <w:sectPr w:rsidR="006177B0">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D063B" w14:textId="77777777" w:rsidR="00385A26" w:rsidRDefault="00385A26">
      <w:r>
        <w:separator/>
      </w:r>
    </w:p>
  </w:endnote>
  <w:endnote w:type="continuationSeparator" w:id="0">
    <w:p w14:paraId="6A9BB4D2" w14:textId="77777777" w:rsidR="00385A26" w:rsidRDefault="00385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6B7CF" w14:textId="77777777" w:rsidR="006177B0" w:rsidRDefault="00000000">
    <w:pPr>
      <w:pBdr>
        <w:top w:val="single" w:sz="4" w:space="6" w:color="BFBFBF"/>
      </w:pBdr>
      <w:jc w:val="center"/>
    </w:pPr>
    <w:r>
      <w:rPr>
        <w:color w:val="595959"/>
        <w:sz w:val="16"/>
        <w:szCs w:val="16"/>
      </w:rPr>
      <w:t xml:space="preserve">Politique de gouvernance des données - Spotify        Page </w:t>
    </w:r>
    <w:r>
      <w:rPr>
        <w:color w:val="595959"/>
        <w:sz w:val="16"/>
        <w:szCs w:val="16"/>
      </w:rPr>
      <w:fldChar w:fldCharType="begin"/>
    </w:r>
    <w:r>
      <w:rPr>
        <w:color w:val="595959"/>
        <w:sz w:val="16"/>
        <w:szCs w:val="16"/>
      </w:rPr>
      <w:instrText>PAGE</w:instrText>
    </w:r>
    <w:r>
      <w:rPr>
        <w:color w:val="595959"/>
        <w:sz w:val="16"/>
        <w:szCs w:val="16"/>
      </w:rPr>
      <w:fldChar w:fldCharType="separate"/>
    </w:r>
    <w:r w:rsidR="005D42D9">
      <w:rPr>
        <w:noProof/>
        <w:color w:val="595959"/>
        <w:sz w:val="16"/>
        <w:szCs w:val="16"/>
      </w:rPr>
      <w:t>2</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5D42D9">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36FB1" w14:textId="77777777" w:rsidR="00385A26" w:rsidRDefault="00385A26">
      <w:r>
        <w:separator/>
      </w:r>
    </w:p>
  </w:footnote>
  <w:footnote w:type="continuationSeparator" w:id="0">
    <w:p w14:paraId="552D60FB" w14:textId="77777777" w:rsidR="00385A26" w:rsidRDefault="00385A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26468"/>
    <w:multiLevelType w:val="hybridMultilevel"/>
    <w:tmpl w:val="5A54AF68"/>
    <w:lvl w:ilvl="0" w:tplc="D1147EAA">
      <w:start w:val="1"/>
      <w:numFmt w:val="decimal"/>
      <w:lvlText w:val=""/>
      <w:lvlJc w:val="left"/>
      <w:rPr>
        <w:sz w:val="1"/>
        <w:szCs w:val="1"/>
      </w:rPr>
    </w:lvl>
    <w:lvl w:ilvl="1" w:tplc="D8AA8654">
      <w:numFmt w:val="decimal"/>
      <w:lvlText w:val=""/>
      <w:lvlJc w:val="left"/>
    </w:lvl>
    <w:lvl w:ilvl="2" w:tplc="D6AAD220">
      <w:numFmt w:val="decimal"/>
      <w:lvlText w:val=""/>
      <w:lvlJc w:val="left"/>
    </w:lvl>
    <w:lvl w:ilvl="3" w:tplc="CCA42BD6">
      <w:numFmt w:val="decimal"/>
      <w:lvlText w:val=""/>
      <w:lvlJc w:val="left"/>
    </w:lvl>
    <w:lvl w:ilvl="4" w:tplc="2ACE9216">
      <w:numFmt w:val="decimal"/>
      <w:lvlText w:val=""/>
      <w:lvlJc w:val="left"/>
    </w:lvl>
    <w:lvl w:ilvl="5" w:tplc="E0663212">
      <w:numFmt w:val="decimal"/>
      <w:lvlText w:val=""/>
      <w:lvlJc w:val="left"/>
    </w:lvl>
    <w:lvl w:ilvl="6" w:tplc="3B78BA22">
      <w:numFmt w:val="decimal"/>
      <w:lvlText w:val=""/>
      <w:lvlJc w:val="left"/>
    </w:lvl>
    <w:lvl w:ilvl="7" w:tplc="52B07926">
      <w:numFmt w:val="decimal"/>
      <w:lvlText w:val=""/>
      <w:lvlJc w:val="left"/>
    </w:lvl>
    <w:lvl w:ilvl="8" w:tplc="19DA3134">
      <w:numFmt w:val="decimal"/>
      <w:lvlText w:val=""/>
      <w:lvlJc w:val="left"/>
    </w:lvl>
  </w:abstractNum>
  <w:abstractNum w:abstractNumId="1" w15:restartNumberingAfterBreak="0">
    <w:nsid w:val="5BBB665A"/>
    <w:multiLevelType w:val="hybridMultilevel"/>
    <w:tmpl w:val="008EC12C"/>
    <w:lvl w:ilvl="0" w:tplc="588EAF6E">
      <w:start w:val="1"/>
      <w:numFmt w:val="bullet"/>
      <w:lvlText w:val="●"/>
      <w:lvlJc w:val="left"/>
      <w:pPr>
        <w:ind w:left="720" w:hanging="360"/>
      </w:pPr>
    </w:lvl>
    <w:lvl w:ilvl="1" w:tplc="9958655A">
      <w:start w:val="1"/>
      <w:numFmt w:val="bullet"/>
      <w:lvlText w:val="○"/>
      <w:lvlJc w:val="left"/>
      <w:pPr>
        <w:ind w:left="1440" w:hanging="360"/>
      </w:pPr>
    </w:lvl>
    <w:lvl w:ilvl="2" w:tplc="C840CE8C">
      <w:start w:val="1"/>
      <w:numFmt w:val="bullet"/>
      <w:lvlText w:val="■"/>
      <w:lvlJc w:val="left"/>
      <w:pPr>
        <w:ind w:left="2160" w:hanging="360"/>
      </w:pPr>
    </w:lvl>
    <w:lvl w:ilvl="3" w:tplc="8446FC52">
      <w:start w:val="1"/>
      <w:numFmt w:val="bullet"/>
      <w:lvlText w:val="●"/>
      <w:lvlJc w:val="left"/>
      <w:pPr>
        <w:ind w:left="2880" w:hanging="360"/>
      </w:pPr>
    </w:lvl>
    <w:lvl w:ilvl="4" w:tplc="74A6762C">
      <w:start w:val="1"/>
      <w:numFmt w:val="bullet"/>
      <w:lvlText w:val="○"/>
      <w:lvlJc w:val="left"/>
      <w:pPr>
        <w:ind w:left="3600" w:hanging="360"/>
      </w:pPr>
    </w:lvl>
    <w:lvl w:ilvl="5" w:tplc="E752B12A">
      <w:start w:val="1"/>
      <w:numFmt w:val="bullet"/>
      <w:lvlText w:val="■"/>
      <w:lvlJc w:val="left"/>
      <w:pPr>
        <w:ind w:left="4320" w:hanging="360"/>
      </w:pPr>
    </w:lvl>
    <w:lvl w:ilvl="6" w:tplc="4DBEDB7E">
      <w:start w:val="1"/>
      <w:numFmt w:val="bullet"/>
      <w:lvlText w:val="●"/>
      <w:lvlJc w:val="left"/>
      <w:pPr>
        <w:ind w:left="5040" w:hanging="360"/>
      </w:pPr>
    </w:lvl>
    <w:lvl w:ilvl="7" w:tplc="351492BA">
      <w:start w:val="1"/>
      <w:numFmt w:val="bullet"/>
      <w:lvlText w:val="●"/>
      <w:lvlJc w:val="left"/>
      <w:pPr>
        <w:ind w:left="5760" w:hanging="360"/>
      </w:pPr>
    </w:lvl>
    <w:lvl w:ilvl="8" w:tplc="655CE4DA">
      <w:start w:val="1"/>
      <w:numFmt w:val="bullet"/>
      <w:lvlText w:val="●"/>
      <w:lvlJc w:val="left"/>
      <w:pPr>
        <w:ind w:left="6480" w:hanging="360"/>
      </w:pPr>
    </w:lvl>
  </w:abstractNum>
  <w:num w:numId="1" w16cid:durableId="1524171242">
    <w:abstractNumId w:val="1"/>
    <w:lvlOverride w:ilvl="0">
      <w:startOverride w:val="1"/>
    </w:lvlOverride>
  </w:num>
  <w:num w:numId="2" w16cid:durableId="20909302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7B0"/>
    <w:rsid w:val="00385A26"/>
    <w:rsid w:val="00501D0A"/>
    <w:rsid w:val="005529B9"/>
    <w:rsid w:val="005D42D9"/>
    <w:rsid w:val="006177B0"/>
    <w:rsid w:val="00E320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248F"/>
  <w15:docId w15:val="{A6F5F016-4AD4-46E1-8601-9D260376D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1327</Words>
  <Characters>7301</Characters>
  <Application>Microsoft Office Word</Application>
  <DocSecurity>4</DocSecurity>
  <Lines>60</Lines>
  <Paragraphs>17</Paragraphs>
  <ScaleCrop>false</ScaleCrop>
  <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Aicha FATHELLAH</cp:lastModifiedBy>
  <cp:revision>2</cp:revision>
  <dcterms:created xsi:type="dcterms:W3CDTF">2026-08-13T13:16:00Z</dcterms:created>
  <dcterms:modified xsi:type="dcterms:W3CDTF">2026-08-13T13:16:00Z</dcterms:modified>
</cp:coreProperties>
</file>