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EB5F" w14:textId="77777777" w:rsidR="003E2B40" w:rsidRDefault="00000000">
      <w:pPr>
        <w:sectPr w:rsidR="003E2B40">
          <w:pgSz w:w="16838" w:h="11906" w:orient="landscape"/>
          <w:pgMar w:top="0" w:right="0" w:bottom="0" w:left="0" w:header="0" w:footer="0" w:gutter="0"/>
          <w:cols w:space="720"/>
        </w:sect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2AF743B0" wp14:editId="6AEC8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7560000"/>
            <wp:effectExtent l="0" t="0" r="0" b="0"/>
            <wp:wrapNone/>
            <wp:docPr id="1001" name="Couver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Couvertur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586B4F" w14:textId="77777777" w:rsidR="003E2B40" w:rsidRDefault="00000000">
      <w:pPr>
        <w:spacing w:after="40"/>
      </w:pPr>
      <w:r>
        <w:rPr>
          <w:b/>
          <w:bCs/>
          <w:color w:val="1F2A55"/>
          <w:sz w:val="40"/>
          <w:szCs w:val="40"/>
        </w:rPr>
        <w:lastRenderedPageBreak/>
        <w:t>Évaluation de la maturité des données</w:t>
      </w:r>
    </w:p>
    <w:p w14:paraId="7419A0B2" w14:textId="77777777" w:rsidR="003E2B40" w:rsidRDefault="00000000">
      <w:pPr>
        <w:pBdr>
          <w:bottom w:val="single" w:sz="12" w:space="6" w:color="3B4CCA"/>
        </w:pBdr>
        <w:spacing w:after="40"/>
      </w:pPr>
      <w:r>
        <w:rPr>
          <w:color w:val="555555"/>
          <w:sz w:val="22"/>
          <w:szCs w:val="22"/>
        </w:rPr>
        <w:t>Cas d'étude : stratégie de gouvernance des données - Spotify</w:t>
      </w:r>
    </w:p>
    <w:p w14:paraId="1636B531" w14:textId="77777777" w:rsidR="003E2B40" w:rsidRDefault="00000000">
      <w:pPr>
        <w:spacing w:before="60" w:after="220"/>
      </w:pPr>
      <w:r>
        <w:rPr>
          <w:b/>
          <w:bCs/>
          <w:color w:val="1F2A55"/>
          <w:sz w:val="18"/>
          <w:szCs w:val="18"/>
        </w:rPr>
        <w:t xml:space="preserve">Échelle de maturité : </w:t>
      </w:r>
      <w:r>
        <w:rPr>
          <w:color w:val="444444"/>
          <w:sz w:val="18"/>
          <w:szCs w:val="18"/>
        </w:rPr>
        <w:t>1 - Aware   |   2 - Reactive   |   3 - Proactive   |   4 - Managed   |   5 - Effective</w:t>
      </w:r>
    </w:p>
    <w:tbl>
      <w:tblPr>
        <w:tblW w:w="15398" w:type="dxa"/>
        <w:tblBorders>
          <w:top w:val="single" w:sz="4" w:space="0" w:color="C6CBD9"/>
          <w:left w:val="single" w:sz="4" w:space="0" w:color="C6CBD9"/>
          <w:bottom w:val="single" w:sz="4" w:space="0" w:color="C6CBD9"/>
          <w:right w:val="single" w:sz="4" w:space="0" w:color="C6CB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900"/>
        <w:gridCol w:w="5398"/>
      </w:tblGrid>
      <w:tr w:rsidR="003E2B40" w14:paraId="71D4E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2A5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D1DB43" w14:textId="77777777" w:rsidR="003E2B40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500" w:type="dxa"/>
            <w:shd w:val="clear" w:color="auto" w:fill="1F2A5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D57799" w14:textId="77777777" w:rsidR="003E2B40" w:rsidRDefault="00000000">
            <w:r>
              <w:rPr>
                <w:b/>
                <w:bCs/>
                <w:color w:val="FFFFFF"/>
                <w:sz w:val="20"/>
                <w:szCs w:val="20"/>
              </w:rPr>
              <w:t>Niveau actuel (1-5)</w:t>
            </w:r>
          </w:p>
        </w:tc>
        <w:tc>
          <w:tcPr>
            <w:tcW w:w="5900" w:type="dxa"/>
            <w:shd w:val="clear" w:color="auto" w:fill="1F2A5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5A15C1" w14:textId="77777777" w:rsidR="003E2B40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Commentaires (Forces / Faiblesses)</w:t>
            </w:r>
          </w:p>
        </w:tc>
        <w:tc>
          <w:tcPr>
            <w:tcW w:w="5398" w:type="dxa"/>
            <w:shd w:val="clear" w:color="auto" w:fill="1F2A5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015989" w14:textId="77777777" w:rsidR="003E2B40" w:rsidRDefault="00000000">
            <w:r>
              <w:rPr>
                <w:b/>
                <w:bCs/>
                <w:color w:val="FFFFFF"/>
                <w:sz w:val="20"/>
                <w:szCs w:val="20"/>
              </w:rPr>
              <w:t>Plan d'action (axes d'amélioration)</w:t>
            </w:r>
          </w:p>
        </w:tc>
      </w:tr>
      <w:tr w:rsidR="003E2B40" w:rsidRPr="00E05C93" w14:paraId="79D7A7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07C1A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Gouvernance des données</w:t>
            </w:r>
          </w:p>
          <w:p w14:paraId="6665AA04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(Data Governance)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383A9C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2</w:t>
            </w:r>
          </w:p>
          <w:p w14:paraId="392D66BD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Reactive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B2200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Faiblesse : absence d'un cadre de gouvernance unifié ; les rôles ne sont pas encore formellement standardisés à l'échelle mondiale. Chaque département gère ses jeux de données de manière indépendante, ce qui génère des silos.</w:t>
            </w:r>
          </w:p>
          <w:p w14:paraId="14E41C77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Without a unified data governance framework, these silos can lead to inefficiencies. »</w:t>
            </w:r>
          </w:p>
        </w:tc>
        <w:tc>
          <w:tcPr>
            <w:tcW w:w="539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4B921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Établir une politique globale de gouvernance des données.</w:t>
            </w:r>
          </w:p>
          <w:p w14:paraId="31DEEDCC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Créer un comité de gouvernance et nommer des Data Stewards par jeu de données.</w:t>
            </w:r>
          </w:p>
          <w:p w14:paraId="50557789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The framework should define roles and responsibilities. »</w:t>
            </w:r>
          </w:p>
        </w:tc>
      </w:tr>
      <w:tr w:rsidR="003E2B40" w14:paraId="212913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24C3D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Qualité des données</w:t>
            </w:r>
          </w:p>
          <w:p w14:paraId="61A39833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(Data Quality)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2C6C6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3</w:t>
            </w:r>
          </w:p>
          <w:p w14:paraId="5760897F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Proactive</w:t>
            </w:r>
          </w:p>
        </w:tc>
        <w:tc>
          <w:tcPr>
            <w:tcW w:w="5900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87B8BC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Force : l'enjeu est reconnu ; l'impact de la qualité des données sur l'algorithme de recommandation est explicitement corrélé à la valeur métier (descripteur Proactive).</w:t>
            </w:r>
          </w:p>
          <w:p w14:paraId="4AC6D7D7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Faiblesse : absence de processus standardisés de nettoyage et de validation. Les inexactitudes (métadonnées obsolètes, préférences erronées) dégradent directement la pertinence des recommandations.</w:t>
            </w:r>
          </w:p>
          <w:p w14:paraId="49534140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Data inaccuracies can lead to suboptimal recommendations, reducing user satisfaction. »</w:t>
            </w:r>
          </w:p>
        </w:tc>
        <w:tc>
          <w:tcPr>
            <w:tcW w:w="5398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B0E8B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Mettre en place des processus standardisés de nettoyage et de validation des données.</w:t>
            </w:r>
          </w:p>
          <w:p w14:paraId="4F699940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Déployer des outils automatisés de surveillance continue de la qualité.</w:t>
            </w:r>
          </w:p>
        </w:tc>
      </w:tr>
      <w:tr w:rsidR="003E2B40" w:rsidRPr="00E05C93" w14:paraId="4363F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55B44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Architecture des données</w:t>
            </w:r>
          </w:p>
          <w:p w14:paraId="771B1CB0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(Data Architecture)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875BC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4</w:t>
            </w:r>
          </w:p>
          <w:p w14:paraId="3939996B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Managed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F7BD4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Force : écosystème hautement sophistiqué combinant data lakes, bases de données relationnelles et stockage cloud, avec ingestion et traitement en temps réel.</w:t>
            </w:r>
          </w:p>
          <w:p w14:paraId="59FE6BAD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The data infrastructure at Spotify is highly sophisticated. »</w:t>
            </w:r>
          </w:p>
        </w:tc>
        <w:tc>
          <w:tcPr>
            <w:tcW w:w="539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75A8D6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Maintenir la scalabilité de l'infrastructure pour soutenir l'expansion mondiale (podcasts, fonctionnalités locales).</w:t>
            </w:r>
          </w:p>
          <w:p w14:paraId="0CDADD2E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...ensuring that data systems are scalable. »</w:t>
            </w:r>
          </w:p>
        </w:tc>
      </w:tr>
      <w:tr w:rsidR="003E2B40" w14:paraId="4D3E4D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0208D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Conformité</w:t>
            </w:r>
          </w:p>
          <w:p w14:paraId="0A6DB8E3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(Compliance - GDPR, CCPA, etc.)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A9317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2</w:t>
            </w:r>
          </w:p>
          <w:p w14:paraId="63C99CCA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Reactive</w:t>
            </w:r>
          </w:p>
        </w:tc>
        <w:tc>
          <w:tcPr>
            <w:tcW w:w="5900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90DD81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Faiblesse : complexité extrême liée à la gestion de multiples juridictions (GDPR, CCPA, PDPA). Risque de pénalités financières majeures et de perte de confiance des utilisateurs.</w:t>
            </w:r>
          </w:p>
          <w:p w14:paraId="788E7BD2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Non-compliance can result in severe penalties. »</w:t>
            </w:r>
          </w:p>
        </w:tc>
        <w:tc>
          <w:tcPr>
            <w:tcW w:w="5398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311EF4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Mettre à jour les politiques de confidentialité et automatiser la gestion des demandes des utilisateurs.</w:t>
            </w:r>
          </w:p>
          <w:p w14:paraId="307D2D44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Mener des audits réguliers sous la supervision du DPO et d'une équipe Privacy dédiée.</w:t>
            </w:r>
          </w:p>
        </w:tc>
      </w:tr>
      <w:tr w:rsidR="003E2B40" w14:paraId="7130A5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2223D6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Utilisation et accessibilité</w:t>
            </w:r>
          </w:p>
          <w:p w14:paraId="3AC5A6B4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(Data Usage &amp; Accessibility)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918B0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2</w:t>
            </w:r>
          </w:p>
          <w:p w14:paraId="4B54F4D9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Reactive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420BAA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Faiblesse : l'accès aux données est fragmenté par des silos départementaux, ce qui crée des goulots d'étranglement et ralentit le développement des innovations.</w:t>
            </w:r>
          </w:p>
          <w:p w14:paraId="21C642A4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...accessing the right data at the right time can be challenging. »</w:t>
            </w:r>
          </w:p>
        </w:tc>
        <w:tc>
          <w:tcPr>
            <w:tcW w:w="539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744CD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Centraliser l'accès aux données tout en préservant la sécurité.</w:t>
            </w:r>
          </w:p>
          <w:p w14:paraId="2217414B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Faciliter le partage transparent entre les équipes (Marketing, Produit, Ingénierie).</w:t>
            </w:r>
          </w:p>
        </w:tc>
      </w:tr>
      <w:tr w:rsidR="003E2B40" w14:paraId="24175D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461B02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Sécurité des données</w:t>
            </w:r>
          </w:p>
          <w:p w14:paraId="06871DBB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(Data Security)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C481C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3</w:t>
            </w:r>
          </w:p>
          <w:p w14:paraId="08B6FDFE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Proactive</w:t>
            </w:r>
          </w:p>
        </w:tc>
        <w:tc>
          <w:tcPr>
            <w:tcW w:w="5900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AA601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Force : infrastructure technique robuste, la sécurité des systèmes relevant explicitement de la responsabilité du Head of Engineering.</w:t>
            </w:r>
          </w:p>
          <w:p w14:paraId="37FF5F10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lastRenderedPageBreak/>
              <w:t>Faiblesse : complexité croissante due aux volumes massifs de données et aux technologies IA avancées.</w:t>
            </w:r>
          </w:p>
          <w:p w14:paraId="5AEEB576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...new data governance challenges, such as maintaining security. »</w:t>
            </w:r>
          </w:p>
        </w:tc>
        <w:tc>
          <w:tcPr>
            <w:tcW w:w="5398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B4691B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lastRenderedPageBreak/>
              <w:t xml:space="preserve">-  </w:t>
            </w:r>
            <w:r>
              <w:rPr>
                <w:color w:val="1A1A1A"/>
              </w:rPr>
              <w:t>Renforcer l'anonymisation et la minimisation des données.</w:t>
            </w:r>
          </w:p>
          <w:p w14:paraId="2E30E03D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Sécuriser les données à chaque étape du traitement, en particulier pour les systèmes d'IA.</w:t>
            </w:r>
          </w:p>
        </w:tc>
      </w:tr>
      <w:tr w:rsidR="003E2B40" w14:paraId="3031C1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E5919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Culture des données</w:t>
            </w:r>
          </w:p>
          <w:p w14:paraId="518CCE13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(Data Literacy)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A9F5F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3</w:t>
            </w:r>
          </w:p>
          <w:p w14:paraId="7550CBA3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Proactive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A11B09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Force : culture d'entreprise fortement orientée données pour la prise de décision.</w:t>
            </w:r>
          </w:p>
          <w:p w14:paraId="3A96F49F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Faiblesse : manque d'alignement partagé sur les principes de conformité et de gouvernance.</w:t>
            </w:r>
          </w:p>
          <w:p w14:paraId="4C33551F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Fostering a data-driven culture requires a clear understanding of data governance principles. »</w:t>
            </w:r>
          </w:p>
        </w:tc>
        <w:tc>
          <w:tcPr>
            <w:tcW w:w="539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556C89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Déployer des programmes de formation sur la gouvernance et la qualité pour l'ensemble des employés.</w:t>
            </w:r>
          </w:p>
        </w:tc>
      </w:tr>
      <w:tr w:rsidR="003E2B40" w14:paraId="460749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DEDD22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Intégration des données</w:t>
            </w:r>
          </w:p>
          <w:p w14:paraId="23D66DC5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(Data Integration)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DE153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2</w:t>
            </w:r>
          </w:p>
          <w:p w14:paraId="04FA274A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Reactive</w:t>
            </w:r>
          </w:p>
        </w:tc>
        <w:tc>
          <w:tcPr>
            <w:tcW w:w="5900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C1F85C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Faiblesse : forte fragmentation des données entre les départements (Marketing vs Produit), empêchant une vision holistique du parcours utilisateur.</w:t>
            </w:r>
          </w:p>
          <w:p w14:paraId="2B6196EC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...resulting in fragmented data where different teams might have inconsistent views. »</w:t>
            </w:r>
          </w:p>
        </w:tc>
        <w:tc>
          <w:tcPr>
            <w:tcW w:w="5398" w:type="dxa"/>
            <w:shd w:val="clear" w:color="auto" w:fill="F2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E7A9BC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Casser les silos en mettant en place un cadre d'intégration unifié.</w:t>
            </w:r>
          </w:p>
          <w:p w14:paraId="27676E82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Déployer des solutions techniques de qualité et d'intégration des données.</w:t>
            </w:r>
          </w:p>
        </w:tc>
      </w:tr>
      <w:tr w:rsidR="003E2B40" w14:paraId="609E5E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E1F70" w14:textId="77777777" w:rsidR="003E2B40" w:rsidRDefault="00000000">
            <w:pPr>
              <w:spacing w:after="20"/>
            </w:pPr>
            <w:r>
              <w:rPr>
                <w:b/>
                <w:bCs/>
                <w:color w:val="1F2A55"/>
                <w:sz w:val="20"/>
                <w:szCs w:val="20"/>
              </w:rPr>
              <w:t>Analytique &amp; BI</w:t>
            </w:r>
          </w:p>
          <w:p w14:paraId="6D28C468" w14:textId="77777777" w:rsidR="003E2B40" w:rsidRDefault="00000000">
            <w:r>
              <w:rPr>
                <w:i/>
                <w:iCs/>
                <w:color w:val="666666"/>
                <w:sz w:val="17"/>
                <w:szCs w:val="17"/>
              </w:rPr>
              <w:t>(Analytics &amp; BI)</w:t>
            </w:r>
          </w:p>
        </w:tc>
        <w:tc>
          <w:tcPr>
            <w:tcW w:w="1500" w:type="dxa"/>
            <w:shd w:val="clear" w:color="auto" w:fill="E8EC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3B6E0" w14:textId="77777777" w:rsidR="003E2B40" w:rsidRDefault="00000000">
            <w:pPr>
              <w:spacing w:after="20"/>
              <w:jc w:val="center"/>
            </w:pPr>
            <w:r>
              <w:rPr>
                <w:b/>
                <w:bCs/>
                <w:color w:val="1F2A55"/>
                <w:sz w:val="30"/>
                <w:szCs w:val="30"/>
              </w:rPr>
              <w:t>4</w:t>
            </w:r>
          </w:p>
          <w:p w14:paraId="398B9B33" w14:textId="77777777" w:rsidR="003E2B40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Managed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DB59D" w14:textId="77777777" w:rsidR="003E2B40" w:rsidRDefault="00000000">
            <w:pPr>
              <w:spacing w:before="20" w:after="20"/>
            </w:pPr>
            <w:r>
              <w:rPr>
                <w:color w:val="1A1A1A"/>
              </w:rPr>
              <w:t>Force : usage très avancé du Machine Learning et de l'IA pour l'hyper-personnalisation (Discover Weekly) et le ciblage publicitaire.</w:t>
            </w:r>
          </w:p>
          <w:p w14:paraId="5DBD29D1" w14:textId="77777777" w:rsidR="003E2B40" w:rsidRPr="00E05C93" w:rsidRDefault="00000000">
            <w:pPr>
              <w:spacing w:before="20" w:after="40"/>
              <w:ind w:left="140"/>
              <w:rPr>
                <w:lang w:val="en-GB"/>
              </w:rPr>
            </w:pPr>
            <w:r w:rsidRPr="00E05C93">
              <w:rPr>
                <w:i/>
                <w:iCs/>
                <w:color w:val="555555"/>
                <w:sz w:val="18"/>
                <w:szCs w:val="18"/>
                <w:lang w:val="en-GB"/>
              </w:rPr>
              <w:t>« ...machine learning algorithms that analyze user data to suggest music and podcasts tailored to individual preferences. »</w:t>
            </w:r>
          </w:p>
        </w:tc>
        <w:tc>
          <w:tcPr>
            <w:tcW w:w="539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A1257" w14:textId="77777777" w:rsidR="003E2B40" w:rsidRDefault="00000000">
            <w:pPr>
              <w:spacing w:before="20" w:after="20"/>
              <w:ind w:left="170" w:hanging="170"/>
            </w:pPr>
            <w:r>
              <w:rPr>
                <w:b/>
                <w:bCs/>
                <w:color w:val="3B4CCA"/>
              </w:rPr>
              <w:t xml:space="preserve">-  </w:t>
            </w:r>
            <w:r>
              <w:rPr>
                <w:color w:val="1A1A1A"/>
              </w:rPr>
              <w:t>Intégrer des contrôles stricts contre les biais algorithmiques et garantir la transparence et l'explicabilité des modèles d'IA.</w:t>
            </w:r>
          </w:p>
        </w:tc>
      </w:tr>
    </w:tbl>
    <w:p w14:paraId="368F1A78" w14:textId="77777777" w:rsidR="003E2B40" w:rsidRDefault="00000000">
      <w:pPr>
        <w:spacing w:before="260"/>
      </w:pPr>
      <w:r>
        <w:rPr>
          <w:b/>
          <w:bCs/>
          <w:color w:val="1F2A55"/>
          <w:sz w:val="18"/>
          <w:szCs w:val="18"/>
        </w:rPr>
        <w:t xml:space="preserve">Synthèse : </w:t>
      </w:r>
      <w:r>
        <w:rPr>
          <w:color w:val="444444"/>
          <w:sz w:val="18"/>
          <w:szCs w:val="18"/>
        </w:rPr>
        <w:t>niveau de maturité moyen d'environ 2,8 / 5. L'entreprise présente une forte maturité technique (Architecture, Analytique &amp; BI) mais une maturité organisationnelle plus faible sur la gouvernance, la conformité, l'accessibilité et l'intégration des données.</w:t>
      </w:r>
    </w:p>
    <w:sectPr w:rsidR="003E2B4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B54B3"/>
    <w:multiLevelType w:val="hybridMultilevel"/>
    <w:tmpl w:val="35985B9A"/>
    <w:lvl w:ilvl="0" w:tplc="BA0ABCC2">
      <w:start w:val="1"/>
      <w:numFmt w:val="bullet"/>
      <w:lvlText w:val="●"/>
      <w:lvlJc w:val="left"/>
      <w:pPr>
        <w:ind w:left="720" w:hanging="360"/>
      </w:pPr>
    </w:lvl>
    <w:lvl w:ilvl="1" w:tplc="E12CDE02">
      <w:start w:val="1"/>
      <w:numFmt w:val="bullet"/>
      <w:lvlText w:val="○"/>
      <w:lvlJc w:val="left"/>
      <w:pPr>
        <w:ind w:left="1440" w:hanging="360"/>
      </w:pPr>
    </w:lvl>
    <w:lvl w:ilvl="2" w:tplc="7C66BC92">
      <w:start w:val="1"/>
      <w:numFmt w:val="bullet"/>
      <w:lvlText w:val="■"/>
      <w:lvlJc w:val="left"/>
      <w:pPr>
        <w:ind w:left="2160" w:hanging="360"/>
      </w:pPr>
    </w:lvl>
    <w:lvl w:ilvl="3" w:tplc="B220F1F6">
      <w:start w:val="1"/>
      <w:numFmt w:val="bullet"/>
      <w:lvlText w:val="●"/>
      <w:lvlJc w:val="left"/>
      <w:pPr>
        <w:ind w:left="2880" w:hanging="360"/>
      </w:pPr>
    </w:lvl>
    <w:lvl w:ilvl="4" w:tplc="2E06F724">
      <w:start w:val="1"/>
      <w:numFmt w:val="bullet"/>
      <w:lvlText w:val="○"/>
      <w:lvlJc w:val="left"/>
      <w:pPr>
        <w:ind w:left="3600" w:hanging="360"/>
      </w:pPr>
    </w:lvl>
    <w:lvl w:ilvl="5" w:tplc="E40EA3B6">
      <w:start w:val="1"/>
      <w:numFmt w:val="bullet"/>
      <w:lvlText w:val="■"/>
      <w:lvlJc w:val="left"/>
      <w:pPr>
        <w:ind w:left="4320" w:hanging="360"/>
      </w:pPr>
    </w:lvl>
    <w:lvl w:ilvl="6" w:tplc="EE74A26C">
      <w:start w:val="1"/>
      <w:numFmt w:val="bullet"/>
      <w:lvlText w:val="●"/>
      <w:lvlJc w:val="left"/>
      <w:pPr>
        <w:ind w:left="5040" w:hanging="360"/>
      </w:pPr>
    </w:lvl>
    <w:lvl w:ilvl="7" w:tplc="A1C0F164">
      <w:start w:val="1"/>
      <w:numFmt w:val="bullet"/>
      <w:lvlText w:val="●"/>
      <w:lvlJc w:val="left"/>
      <w:pPr>
        <w:ind w:left="5760" w:hanging="360"/>
      </w:pPr>
    </w:lvl>
    <w:lvl w:ilvl="8" w:tplc="356E4F3E">
      <w:start w:val="1"/>
      <w:numFmt w:val="bullet"/>
      <w:lvlText w:val="●"/>
      <w:lvlJc w:val="left"/>
      <w:pPr>
        <w:ind w:left="6480" w:hanging="360"/>
      </w:pPr>
    </w:lvl>
  </w:abstractNum>
  <w:num w:numId="1" w16cid:durableId="1008487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cryptProviderType="rsaAES" w:cryptAlgorithmClass="hash" w:cryptAlgorithmType="typeAny" w:cryptAlgorithmSid="14" w:cryptSpinCount="100000" w:hash="KA35RjrGXqyFkusTMZoxJ+vaDiKJdQoUG1epBcMZfBRf+3T4tatbqbfYjx6oAC20Ty27mD7HROA9awuJ3bRWCw==" w:salt="2hNdCoR7fONTfaBmM9HuQQ=="/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B40"/>
    <w:rsid w:val="003E2B40"/>
    <w:rsid w:val="00B226EE"/>
    <w:rsid w:val="00E0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DF356"/>
  <w15:docId w15:val="{72B84EC7-970A-471F-9546-9EB0D7D7F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771</Words>
  <Characters>4242</Characters>
  <Application>Microsoft Office Word</Application>
  <DocSecurity>4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Aicha FATHELLAH</cp:lastModifiedBy>
  <cp:revision>2</cp:revision>
  <dcterms:created xsi:type="dcterms:W3CDTF">2026-08-13T13:25:00Z</dcterms:created>
  <dcterms:modified xsi:type="dcterms:W3CDTF">2026-08-13T13:25:00Z</dcterms:modified>
</cp:coreProperties>
</file>