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2E5496"/>
          <w:sz w:val="18"/>
          <w:szCs w:val="18"/>
        </w:rPr>
        <w:t xml:space="preserve">PROJET SPOTIFY</w:t>
      </w:r>
    </w:p>
    <w:p>
      <w:pPr>
        <w:pBdr>
          <w:bottom w:val="single" w:color="1F3864" w:sz="8" w:space="4"/>
        </w:pBdr>
        <w:spacing w:after="200"/>
      </w:pPr>
      <w:r>
        <w:rPr>
          <w:rFonts w:ascii="Calibri" w:cs="Calibri" w:eastAsia="Calibri" w:hAnsi="Calibri"/>
          <w:b/>
          <w:bCs/>
          <w:color w:val="1F3864"/>
          <w:sz w:val="34"/>
          <w:szCs w:val="34"/>
        </w:rPr>
        <w:t xml:space="preserve">Organigramme des rôles et responsabilités</w:t>
      </w:r>
    </w:p>
    <w:tbl>
      <w:tblPr>
        <w:tblW w:type="dxa" w:w="14600"/>
        <w:tblBorders>
          <w:top w:val="none" w:color="FFFFFF" w:sz="0"/>
          <w:left w:val="none" w:color="FFFFFF" w:sz="0"/>
          <w:bottom w:val="none" w:color="FFFFFF" w:sz="0"/>
          <w:right w:val="none" w:color="FFFFFF" w:sz="0"/>
          <w:insideH w:val="none" w:color="FFFFFF" w:sz="0"/>
          <w:insideV w:val="none" w:color="FFFFFF" w:sz="0"/>
        </w:tblBorders>
      </w:tblPr>
      <w:tblGrid>
        <w:gridCol w:w="9600"/>
        <w:gridCol w:w="5000"/>
      </w:tblGrid>
      <w:tr>
        <w:tc>
          <w:tcPr>
            <w:tcW w:type="dxa" w:w="9600"/>
            <w:tcBorders>
              <w:top w:val="none" w:color="FFFFFF" w:sz="0"/>
              <w:left w:val="none" w:color="FFFFFF" w:sz="0"/>
              <w:bottom w:val="none" w:color="FFFFFF" w:sz="0"/>
              <w:right w:val="none" w:color="FFFFFF" w:sz="0"/>
            </w:tcBorders>
            <w:vAlign w:val="center"/>
          </w:tcPr>
          <w:p>
            <w:pPr>
              <w:jc w:val="center"/>
            </w:pPr>
            <w:r>
              <w:drawing>
                <wp:inline distT="0" distB="0" distL="0" distR="0">
                  <wp:extent cx="600075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00750" cy="3514725"/>
                          </a:xfrm>
                          <a:prstGeom prst="rect">
                            <a:avLst/>
                          </a:prstGeom>
                        </pic:spPr>
                      </pic:pic>
                    </a:graphicData>
                  </a:graphic>
                </wp:inline>
              </w:drawing>
            </w:r>
          </w:p>
        </w:tc>
        <w:tc>
          <w:tcPr>
            <w:tcW w:type="dxa" w:w="5000"/>
            <w:tcBorders>
              <w:top w:val="none" w:color="FFFFFF" w:sz="0"/>
              <w:left w:val="none" w:color="FFFFFF" w:sz="0"/>
              <w:bottom w:val="none" w:color="FFFFFF" w:sz="0"/>
              <w:right w:val="none" w:color="FFFFFF" w:sz="0"/>
            </w:tcBorders>
            <w:tcMar>
              <w:left w:type="dxa" w:w="240"/>
            </w:tcMar>
            <w:vAlign w:val="center"/>
          </w:tcPr>
          <w:p>
            <w:pPr>
              <w:pBdr>
                <w:bottom w:val="single" w:color="2E5496" w:sz="6" w:space="3"/>
              </w:pBdr>
              <w:spacing w:after="120"/>
            </w:pPr>
            <w:r>
              <w:rPr>
                <w:rFonts w:ascii="Calibri" w:cs="Calibri" w:eastAsia="Calibri" w:hAnsi="Calibri"/>
                <w:b/>
                <w:bCs/>
                <w:color w:val="2E5496"/>
                <w:sz w:val="20"/>
                <w:szCs w:val="20"/>
              </w:rPr>
              <w:t xml:space="preserve">Responsabilités clés</w:t>
            </w:r>
          </w:p>
          <w:p>
            <w:pPr>
              <w:spacing w:after="90" w:line="240"/>
            </w:pPr>
            <w:r>
              <w:rPr>
                <w:rFonts w:ascii="Calibri" w:cs="Calibri" w:eastAsia="Calibri" w:hAnsi="Calibri"/>
                <w:b/>
                <w:bCs/>
                <w:color w:val="1F3864"/>
                <w:sz w:val="17"/>
                <w:szCs w:val="17"/>
              </w:rPr>
              <w:t xml:space="preserve">CDO</w:t>
            </w:r>
            <w:r>
              <w:rPr>
                <w:rFonts w:ascii="Calibri" w:cs="Calibri" w:eastAsia="Calibri" w:hAnsi="Calibri"/>
                <w:color w:val="000000"/>
                <w:sz w:val="17"/>
                <w:szCs w:val="17"/>
              </w:rPr>
              <w:t xml:space="preserve">  stratégie et arbitrages de gouvernance</w:t>
            </w:r>
          </w:p>
          <w:p>
            <w:pPr>
              <w:spacing w:after="90" w:line="240"/>
            </w:pPr>
            <w:r>
              <w:rPr>
                <w:rFonts w:ascii="Calibri" w:cs="Calibri" w:eastAsia="Calibri" w:hAnsi="Calibri"/>
                <w:b/>
                <w:bCs/>
                <w:color w:val="1F3864"/>
                <w:sz w:val="17"/>
                <w:szCs w:val="17"/>
              </w:rPr>
              <w:t xml:space="preserve">Comité de gouvernance</w:t>
            </w:r>
            <w:r>
              <w:rPr>
                <w:rFonts w:ascii="Calibri" w:cs="Calibri" w:eastAsia="Calibri" w:hAnsi="Calibri"/>
                <w:color w:val="000000"/>
                <w:sz w:val="17"/>
                <w:szCs w:val="17"/>
              </w:rPr>
              <w:t xml:space="preserve">  validation des politiques</w:t>
            </w:r>
          </w:p>
          <w:p>
            <w:pPr>
              <w:spacing w:after="90" w:line="240"/>
            </w:pPr>
            <w:r>
              <w:rPr>
                <w:rFonts w:ascii="Calibri" w:cs="Calibri" w:eastAsia="Calibri" w:hAnsi="Calibri"/>
                <w:b/>
                <w:bCs/>
                <w:color w:val="1F3864"/>
                <w:sz w:val="17"/>
                <w:szCs w:val="17"/>
              </w:rPr>
              <w:t xml:space="preserve">DPO</w:t>
            </w:r>
            <w:r>
              <w:rPr>
                <w:rFonts w:ascii="Calibri" w:cs="Calibri" w:eastAsia="Calibri" w:hAnsi="Calibri"/>
                <w:color w:val="000000"/>
                <w:sz w:val="17"/>
                <w:szCs w:val="17"/>
              </w:rPr>
              <w:t xml:space="preserve">  conformité RGPD, CCPA</w:t>
            </w:r>
          </w:p>
          <w:p>
            <w:pPr>
              <w:spacing w:after="90" w:line="240"/>
            </w:pPr>
            <w:r>
              <w:rPr>
                <w:rFonts w:ascii="Calibri" w:cs="Calibri" w:eastAsia="Calibri" w:hAnsi="Calibri"/>
                <w:b/>
                <w:bCs/>
                <w:color w:val="1F3864"/>
                <w:sz w:val="17"/>
                <w:szCs w:val="17"/>
              </w:rPr>
              <w:t xml:space="preserve">Équipe juridique</w:t>
            </w:r>
            <w:r>
              <w:rPr>
                <w:rFonts w:ascii="Calibri" w:cs="Calibri" w:eastAsia="Calibri" w:hAnsi="Calibri"/>
                <w:color w:val="000000"/>
                <w:sz w:val="17"/>
                <w:szCs w:val="17"/>
              </w:rPr>
              <w:t xml:space="preserve">  conseil légal et gestion des risques</w:t>
            </w:r>
          </w:p>
          <w:p>
            <w:pPr>
              <w:spacing w:after="90" w:line="240"/>
            </w:pPr>
            <w:r>
              <w:rPr>
                <w:rFonts w:ascii="Calibri" w:cs="Calibri" w:eastAsia="Calibri" w:hAnsi="Calibri"/>
                <w:b/>
                <w:bCs/>
                <w:color w:val="1F3864"/>
                <w:sz w:val="17"/>
                <w:szCs w:val="17"/>
              </w:rPr>
              <w:t xml:space="preserve">Data Stewards</w:t>
            </w:r>
            <w:r>
              <w:rPr>
                <w:rFonts w:ascii="Calibri" w:cs="Calibri" w:eastAsia="Calibri" w:hAnsi="Calibri"/>
                <w:color w:val="000000"/>
                <w:sz w:val="17"/>
                <w:szCs w:val="17"/>
              </w:rPr>
              <w:t xml:space="preserve">  qualité et accès par domaine</w:t>
            </w:r>
          </w:p>
          <w:p>
            <w:pPr>
              <w:spacing w:after="90" w:line="240"/>
            </w:pPr>
            <w:r>
              <w:rPr>
                <w:rFonts w:ascii="Calibri" w:cs="Calibri" w:eastAsia="Calibri" w:hAnsi="Calibri"/>
                <w:b/>
                <w:bCs/>
                <w:color w:val="1F3864"/>
                <w:sz w:val="17"/>
                <w:szCs w:val="17"/>
              </w:rPr>
              <w:t xml:space="preserve">Responsable ingénierie</w:t>
            </w:r>
            <w:r>
              <w:rPr>
                <w:rFonts w:ascii="Calibri" w:cs="Calibri" w:eastAsia="Calibri" w:hAnsi="Calibri"/>
                <w:color w:val="000000"/>
                <w:sz w:val="17"/>
                <w:szCs w:val="17"/>
              </w:rPr>
              <w:t xml:space="preserve">  infrastructure et sécurité</w:t>
            </w:r>
          </w:p>
          <w:p>
            <w:pPr>
              <w:spacing w:after="90" w:line="240"/>
            </w:pPr>
            <w:r>
              <w:rPr>
                <w:rFonts w:ascii="Calibri" w:cs="Calibri" w:eastAsia="Calibri" w:hAnsi="Calibri"/>
                <w:b/>
                <w:bCs/>
                <w:color w:val="1F3864"/>
                <w:sz w:val="17"/>
                <w:szCs w:val="17"/>
              </w:rPr>
              <w:t xml:space="preserve">Directeur marketing</w:t>
            </w:r>
            <w:r>
              <w:rPr>
                <w:rFonts w:ascii="Calibri" w:cs="Calibri" w:eastAsia="Calibri" w:hAnsi="Calibri"/>
                <w:color w:val="000000"/>
                <w:sz w:val="17"/>
                <w:szCs w:val="17"/>
              </w:rPr>
              <w:t xml:space="preserve">  données marketing conformes</w:t>
            </w:r>
          </w:p>
          <w:p>
            <w:pPr>
              <w:spacing w:after="90" w:line="240"/>
            </w:pPr>
            <w:r>
              <w:rPr>
                <w:rFonts w:ascii="Calibri" w:cs="Calibri" w:eastAsia="Calibri" w:hAnsi="Calibri"/>
                <w:b/>
                <w:bCs/>
                <w:color w:val="1F3864"/>
                <w:sz w:val="17"/>
                <w:szCs w:val="17"/>
              </w:rPr>
              <w:t xml:space="preserve">Chefs de produit</w:t>
            </w:r>
            <w:r>
              <w:rPr>
                <w:rFonts w:ascii="Calibri" w:cs="Calibri" w:eastAsia="Calibri" w:hAnsi="Calibri"/>
                <w:color w:val="000000"/>
                <w:sz w:val="17"/>
                <w:szCs w:val="17"/>
              </w:rPr>
              <w:t xml:space="preserve">  données produit fiables</w:t>
            </w:r>
          </w:p>
        </w:tc>
      </w:tr>
    </w:tbl>
    <w:p>
      <w:pPr>
        <w:spacing w:after="120"/>
      </w:pPr>
    </w:p>
    <w:p>
      <w:pPr>
        <w:spacing w:after="50" w:line="240"/>
        <w:jc w:val="both"/>
      </w:pPr>
      <w:r>
        <w:rPr>
          <w:rFonts w:ascii="Calibri" w:cs="Calibri" w:eastAsia="Calibri" w:hAnsi="Calibri"/>
          <w:b/>
          <w:bCs/>
          <w:color w:val="2E5496"/>
          <w:sz w:val="16"/>
          <w:szCs w:val="16"/>
        </w:rPr>
        <w:t xml:space="preserve">Note 1. </w:t>
      </w:r>
      <w:r>
        <w:rPr>
          <w:rFonts w:ascii="Calibri" w:cs="Calibri" w:eastAsia="Calibri" w:hAnsi="Calibri"/>
          <w:i/>
          <w:iCs/>
          <w:color w:val="595959"/>
          <w:sz w:val="16"/>
          <w:szCs w:val="16"/>
        </w:rPr>
        <w:t xml:space="preserve">Les Data Stewards sont rattachés fonctionnellement aux directions métier (ingénierie, marketing, produit) afin de garantir la qualité opérationnelle au plus près de la donnée, tout en restant coordonnés par le comité de gouvernance pour préserver une source unique de vérité.</w:t>
      </w:r>
    </w:p>
    <w:p>
      <w:pPr>
        <w:spacing w:after="50" w:line="240"/>
        <w:jc w:val="both"/>
      </w:pPr>
      <w:r>
        <w:rPr>
          <w:rFonts w:ascii="Calibri" w:cs="Calibri" w:eastAsia="Calibri" w:hAnsi="Calibri"/>
          <w:b/>
          <w:bCs/>
          <w:color w:val="2E5496"/>
          <w:sz w:val="16"/>
          <w:szCs w:val="16"/>
        </w:rPr>
        <w:t xml:space="preserve">Note 2. </w:t>
      </w:r>
      <w:r>
        <w:rPr>
          <w:rFonts w:ascii="Calibri" w:cs="Calibri" w:eastAsia="Calibri" w:hAnsi="Calibri"/>
          <w:i/>
          <w:iCs/>
          <w:color w:val="595959"/>
          <w:sz w:val="16"/>
          <w:szCs w:val="16"/>
        </w:rPr>
        <w:t xml:space="preserve">La curation de contenu et les algorithmes de recommandation disposent d'un Data Steward dédié, chargé de surveiller les biais et la qualité des données d'entraînement, en cohérence avec le principe d'usage éthique de la politique.</w:t>
      </w:r>
    </w:p>
    <w:sectPr>
      <w:pgSz w:w="16838" w:h="11906" w:orient="landscape"/>
      <w:pgMar w:top="700" w:right="900" w:bottom="56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d46971a5a9ca338ab6d77f9ebf3c1a7d969abca.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2026-08-13T14:06:27.387Z</dcterms:created>
  <dcterms:modified xsi:type="dcterms:W3CDTF">2026-08-13T14:06:27.387Z</dcterms:modified>
</cp:coreProperties>
</file>

<file path=docProps/custom.xml><?xml version="1.0" encoding="utf-8"?>
<Properties xmlns="http://schemas.openxmlformats.org/officeDocument/2006/custom-properties" xmlns:vt="http://schemas.openxmlformats.org/officeDocument/2006/docPropsVTypes"/>
</file>