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drawing>
          <wp:anchor distT="0" distB="0" distL="0" distR="0" simplePos="0" allowOverlap="1" behindDoc="1" locked="0" layoutInCell="1" relativeHeight="10696575">
            <wp:simplePos x="0" y="0"/>
            <wp:positionH relativeFrom="page">
              <wp:align>center</wp:align>
            </wp:positionH>
            <wp:positionV relativeFrom="page">
              <wp:align>center</wp:align>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ectPr>
          <w:footerReference w:type="default" r:id="rId7"/>
          <w:pgSz w:w="11906" w:h="16838" w:orient="portrait"/>
          <w:pgMar w:top="0" w:right="0" w:bottom="0" w:left="0" w:header="708" w:footer="708" w:gutter="0"/>
          <w:pgNumType/>
          <w:docGrid w:linePitch="360"/>
        </w:sectPr>
      </w:pPr>
    </w:p>
    <w:p>
      <w:pPr>
        <w:spacing w:after="120"/>
        <w:jc w:val="both"/>
      </w:pPr>
      <w:r>
        <w:rPr>
          <w:rFonts w:ascii="Calibri" w:cs="Calibri" w:eastAsia="Calibri" w:hAnsi="Calibri"/>
          <w:i/>
          <w:iCs/>
          <w:color w:val="595959"/>
          <w:sz w:val="22"/>
          <w:szCs w:val="22"/>
        </w:rPr>
        <w:t xml:space="preserve">Ce guide anticipe les questions qu'un comité de direction est susceptible de poser à l'issue de la présentation. Chaque réponse est une trame concise, à adapter et à formuler à l'oral.</w:t>
      </w:r>
    </w:p>
    <w:p>
      <w:pPr>
        <w:pBdr>
          <w:bottom w:val="single" w:color="D9E2F0" w:sz="6" w:space="3"/>
        </w:pBdr>
        <w:spacing w:after="80" w:before="220"/>
      </w:pPr>
      <w:r>
        <w:rPr>
          <w:rFonts w:ascii="Calibri" w:cs="Calibri" w:eastAsia="Calibri" w:hAnsi="Calibri"/>
          <w:b/>
          <w:bCs/>
          <w:color w:val="1F3864"/>
          <w:sz w:val="24"/>
          <w:szCs w:val="24"/>
        </w:rPr>
        <w:t xml:space="preserve">Valeur et justification</w:t>
      </w:r>
    </w:p>
    <w:p>
      <w:pPr>
        <w:spacing w:after="40" w:before="140"/>
      </w:pPr>
      <w:r>
        <w:rPr>
          <w:rFonts w:ascii="Calibri" w:cs="Calibri" w:eastAsia="Calibri" w:hAnsi="Calibri"/>
          <w:b/>
          <w:bCs/>
          <w:color w:val="2E5496"/>
          <w:sz w:val="22"/>
          <w:szCs w:val="22"/>
        </w:rPr>
        <w:t xml:space="preserve">Q1. </w:t>
      </w:r>
      <w:r>
        <w:rPr>
          <w:rFonts w:ascii="Calibri" w:cs="Calibri" w:eastAsia="Calibri" w:hAnsi="Calibri"/>
          <w:b/>
          <w:bCs/>
          <w:color w:val="1F3864"/>
          <w:sz w:val="22"/>
          <w:szCs w:val="22"/>
        </w:rPr>
        <w:t xml:space="preserve">Pourquoi investir dans la gouvernance des données maintenant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Parce que le coût de l'inaction augmente. Nos données sont fragmentées en silos, la réglementation se durcit sur plusieurs continents, et la qualité des données conditionne directement la pertinence de nos recommandations, donc la satisfaction et la rétention. Agir maintenant, c'est transformer un risque latent en avantage : des décisions plus fiables, une conformité maîtrisée et une base saine pour passer à l'échelle.</w:t>
      </w:r>
    </w:p>
    <w:p>
      <w:pPr>
        <w:spacing w:after="40" w:before="140"/>
      </w:pPr>
      <w:r>
        <w:rPr>
          <w:rFonts w:ascii="Calibri" w:cs="Calibri" w:eastAsia="Calibri" w:hAnsi="Calibri"/>
          <w:b/>
          <w:bCs/>
          <w:color w:val="2E5496"/>
          <w:sz w:val="22"/>
          <w:szCs w:val="22"/>
        </w:rPr>
        <w:t xml:space="preserve">Q2. </w:t>
      </w:r>
      <w:r>
        <w:rPr>
          <w:rFonts w:ascii="Calibri" w:cs="Calibri" w:eastAsia="Calibri" w:hAnsi="Calibri"/>
          <w:b/>
          <w:bCs/>
          <w:color w:val="1F3864"/>
          <w:sz w:val="22"/>
          <w:szCs w:val="22"/>
        </w:rPr>
        <w:t xml:space="preserve">Quelle valeur métier concrète en attend-on pour Spotify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Quatre bénéfices concrets. Des décisions fondées sur des données fiables, ce qui améliore la qualité du produit. Une conformité maîtrisée, qui réduit l'exposition aux sanctions. La confiance des utilisateurs préservée sur leurs données personnelles. Et une organisation capable de croître sans que la donnée ne devienne un frein. La gouvernance n'est pas un centre de coût : c'est ce qui protège et démultiplie la valeur de notre patrimoine de données.</w:t>
      </w:r>
    </w:p>
    <w:p>
      <w:pPr>
        <w:pBdr>
          <w:bottom w:val="single" w:color="D9E2F0" w:sz="6" w:space="3"/>
        </w:pBdr>
        <w:spacing w:after="80" w:before="220"/>
      </w:pPr>
      <w:r>
        <w:rPr>
          <w:rFonts w:ascii="Calibri" w:cs="Calibri" w:eastAsia="Calibri" w:hAnsi="Calibri"/>
          <w:b/>
          <w:bCs/>
          <w:color w:val="1F3864"/>
          <w:sz w:val="24"/>
          <w:szCs w:val="24"/>
        </w:rPr>
        <w:t xml:space="preserve">Coûts et ressources</w:t>
      </w:r>
    </w:p>
    <w:p>
      <w:pPr>
        <w:spacing w:after="40" w:before="140"/>
      </w:pPr>
      <w:r>
        <w:rPr>
          <w:rFonts w:ascii="Calibri" w:cs="Calibri" w:eastAsia="Calibri" w:hAnsi="Calibri"/>
          <w:b/>
          <w:bCs/>
          <w:color w:val="2E5496"/>
          <w:sz w:val="22"/>
          <w:szCs w:val="22"/>
        </w:rPr>
        <w:t xml:space="preserve">Q3. </w:t>
      </w:r>
      <w:r>
        <w:rPr>
          <w:rFonts w:ascii="Calibri" w:cs="Calibri" w:eastAsia="Calibri" w:hAnsi="Calibri"/>
          <w:b/>
          <w:bCs/>
          <w:color w:val="1F3864"/>
          <w:sz w:val="22"/>
          <w:szCs w:val="22"/>
        </w:rPr>
        <w:t xml:space="preserve">Combien cela coûte-t-il, en outils et en équipe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Le coût est maîtrisé par deux choix. D'abord, l'approche acheter ou construire : nous achetons des outils du marché pour les fonctions standard, sans réinventer ce qui existe, et nous ne développons en interne que le cœur algorithmique, qui est notre avantage propre. Ensuite, la démarche progressive : on ne déploie pas tout d'un coup, on commence par un pilote à périmètre restreint, ce qui limite l'investissement initial et permet de chiffrer les gains avant d'engager la généralisation.</w:t>
      </w:r>
    </w:p>
    <w:p>
      <w:pPr>
        <w:spacing w:after="40" w:before="140"/>
      </w:pPr>
      <w:r>
        <w:rPr>
          <w:rFonts w:ascii="Calibri" w:cs="Calibri" w:eastAsia="Calibri" w:hAnsi="Calibri"/>
          <w:b/>
          <w:bCs/>
          <w:color w:val="2E5496"/>
          <w:sz w:val="22"/>
          <w:szCs w:val="22"/>
        </w:rPr>
        <w:t xml:space="preserve">Q4. </w:t>
      </w:r>
      <w:r>
        <w:rPr>
          <w:rFonts w:ascii="Calibri" w:cs="Calibri" w:eastAsia="Calibri" w:hAnsi="Calibri"/>
          <w:b/>
          <w:bCs/>
          <w:color w:val="1F3864"/>
          <w:sz w:val="22"/>
          <w:szCs w:val="22"/>
        </w:rPr>
        <w:t xml:space="preserve">De quelles ressources humaines a-t-on besoin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Le dispositif s'appuie sur des rôles clairs plutôt que sur une inflation d'effectifs : un directeur des données pour la stratégie, un délégué à la protection des données pour la conformité, un comité de gouvernance transversal, et des Data Stewards embarqués progressivement dans les métiers. Le pilote ne mobilise qu'une petite équipe dédiée. Les effectifs montent en puissance au rythme du déploiement, phase par phase, et non d'emblée.</w:t>
      </w:r>
    </w:p>
    <w:p>
      <w:pPr>
        <w:pBdr>
          <w:bottom w:val="single" w:color="D9E2F0" w:sz="6" w:space="3"/>
        </w:pBdr>
        <w:spacing w:after="80" w:before="220"/>
      </w:pPr>
      <w:r>
        <w:rPr>
          <w:rFonts w:ascii="Calibri" w:cs="Calibri" w:eastAsia="Calibri" w:hAnsi="Calibri"/>
          <w:b/>
          <w:bCs/>
          <w:color w:val="1F3864"/>
          <w:sz w:val="24"/>
          <w:szCs w:val="24"/>
        </w:rPr>
        <w:t xml:space="preserve">Délais</w:t>
      </w:r>
    </w:p>
    <w:p>
      <w:pPr>
        <w:spacing w:after="40" w:before="140"/>
      </w:pPr>
      <w:r>
        <w:rPr>
          <w:rFonts w:ascii="Calibri" w:cs="Calibri" w:eastAsia="Calibri" w:hAnsi="Calibri"/>
          <w:b/>
          <w:bCs/>
          <w:color w:val="2E5496"/>
          <w:sz w:val="22"/>
          <w:szCs w:val="22"/>
        </w:rPr>
        <w:t xml:space="preserve">Q5. </w:t>
      </w:r>
      <w:r>
        <w:rPr>
          <w:rFonts w:ascii="Calibri" w:cs="Calibri" w:eastAsia="Calibri" w:hAnsi="Calibri"/>
          <w:b/>
          <w:bCs/>
          <w:color w:val="1F3864"/>
          <w:sz w:val="22"/>
          <w:szCs w:val="22"/>
        </w:rPr>
        <w:t xml:space="preserve">Quel est le calendrier de déploiement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Le déploiement suit trois phases. Une première phase pose le socle centralisé et la source unique de vérité. Une deuxième phase éprouve le dispositif sur un pilote ciblé. Une troisième phase généralise le modèle aux autres directions. Chaque phase valide la précédente avant d'étendre le périmètre, ce qui sécurise l'ensemble et évite le basculement brutal.</w:t>
      </w:r>
    </w:p>
    <w:p>
      <w:pPr>
        <w:spacing w:after="40" w:before="140"/>
      </w:pPr>
      <w:r>
        <w:rPr>
          <w:rFonts w:ascii="Calibri" w:cs="Calibri" w:eastAsia="Calibri" w:hAnsi="Calibri"/>
          <w:b/>
          <w:bCs/>
          <w:color w:val="2E5496"/>
          <w:sz w:val="22"/>
          <w:szCs w:val="22"/>
        </w:rPr>
        <w:t xml:space="preserve">Q6. </w:t>
      </w:r>
      <w:r>
        <w:rPr>
          <w:rFonts w:ascii="Calibri" w:cs="Calibri" w:eastAsia="Calibri" w:hAnsi="Calibri"/>
          <w:b/>
          <w:bCs/>
          <w:color w:val="1F3864"/>
          <w:sz w:val="22"/>
          <w:szCs w:val="22"/>
        </w:rPr>
        <w:t xml:space="preserve">Quand verra-t-on des résultats concrets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Dès le pilote. Il est conçu pour produire des résultats chiffrés à court terme sur un périmètre restreint : amélioration de la qualité des métadonnées, réduction des anomalies, gain de conformité. Ces premiers résultats servent de preuve pour convaincre le reste de l'organisation avant la généralisation. On mesure vite, sur un petit périmètre, avant d'investir largement.</w:t>
      </w:r>
    </w:p>
    <w:p>
      <w:pPr>
        <w:pBdr>
          <w:bottom w:val="single" w:color="D9E2F0" w:sz="6" w:space="3"/>
        </w:pBdr>
        <w:spacing w:after="80" w:before="220"/>
      </w:pPr>
      <w:r>
        <w:rPr>
          <w:rFonts w:ascii="Calibri" w:cs="Calibri" w:eastAsia="Calibri" w:hAnsi="Calibri"/>
          <w:b/>
          <w:bCs/>
          <w:color w:val="1F3864"/>
          <w:sz w:val="24"/>
          <w:szCs w:val="24"/>
        </w:rPr>
        <w:t xml:space="preserve">Conformité et données sensibles</w:t>
      </w:r>
    </w:p>
    <w:p>
      <w:pPr>
        <w:spacing w:after="40" w:before="140"/>
      </w:pPr>
      <w:r>
        <w:rPr>
          <w:rFonts w:ascii="Calibri" w:cs="Calibri" w:eastAsia="Calibri" w:hAnsi="Calibri"/>
          <w:b/>
          <w:bCs/>
          <w:color w:val="2E5496"/>
          <w:sz w:val="22"/>
          <w:szCs w:val="22"/>
        </w:rPr>
        <w:t xml:space="preserve">Q7. </w:t>
      </w:r>
      <w:r>
        <w:rPr>
          <w:rFonts w:ascii="Calibri" w:cs="Calibri" w:eastAsia="Calibri" w:hAnsi="Calibri"/>
          <w:b/>
          <w:bCs/>
          <w:color w:val="1F3864"/>
          <w:sz w:val="22"/>
          <w:szCs w:val="22"/>
        </w:rPr>
        <w:t xml:space="preserve">Sommes-nous exposés juridiquement au regard du RGPD, du CCPA et du PCI-DSS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C'est précisément ce que le cadre traite. La conformité est un principe fondateur de la politique, pas une couche ajoutée après coup. Nous cartographions les traitements, gérons le consentement et les demandes des personnes, et respectons les obligations propres à chaque cadre, y compris la notification des violations sous 72 heures. Un outil dédié et des audits réguliers, sous la supervision du délégué à la protection des données, mesurent l'écart entre nos règles et nos pratiques réelles.</w:t>
      </w:r>
    </w:p>
    <w:p>
      <w:pPr>
        <w:spacing w:after="40" w:before="140"/>
      </w:pPr>
      <w:r>
        <w:rPr>
          <w:rFonts w:ascii="Calibri" w:cs="Calibri" w:eastAsia="Calibri" w:hAnsi="Calibri"/>
          <w:b/>
          <w:bCs/>
          <w:color w:val="2E5496"/>
          <w:sz w:val="22"/>
          <w:szCs w:val="22"/>
        </w:rPr>
        <w:t xml:space="preserve">Q8. </w:t>
      </w:r>
      <w:r>
        <w:rPr>
          <w:rFonts w:ascii="Calibri" w:cs="Calibri" w:eastAsia="Calibri" w:hAnsi="Calibri"/>
          <w:b/>
          <w:bCs/>
          <w:color w:val="1F3864"/>
          <w:sz w:val="22"/>
          <w:szCs w:val="22"/>
        </w:rPr>
        <w:t xml:space="preserve">Comment protège-t-on concrètement les données personnelles des utilisateurs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Par plusieurs mécanismes combinés : le principe du moindre privilège, où chacun n'accède qu'à ce qui lui est nécessaire ; le contrôle d'accès par rôle ; le chiffrement des données sensibles ; et l'anonymisation avant tout partage ou exploitation secondaire. À cela s'ajoutent les droits des utilisateurs sur leurs données, garantis par la politique : accès, rectification, suppression et opposition.</w:t>
      </w:r>
    </w:p>
    <w:p>
      <w:pPr>
        <w:pBdr>
          <w:bottom w:val="single" w:color="D9E2F0" w:sz="6" w:space="3"/>
        </w:pBdr>
        <w:spacing w:after="80" w:before="220"/>
      </w:pPr>
      <w:r>
        <w:rPr>
          <w:rFonts w:ascii="Calibri" w:cs="Calibri" w:eastAsia="Calibri" w:hAnsi="Calibri"/>
          <w:b/>
          <w:bCs/>
          <w:color w:val="1F3864"/>
          <w:sz w:val="24"/>
          <w:szCs w:val="24"/>
        </w:rPr>
        <w:t xml:space="preserve">Risques</w:t>
      </w:r>
    </w:p>
    <w:p>
      <w:pPr>
        <w:spacing w:after="40" w:before="140"/>
      </w:pPr>
      <w:r>
        <w:rPr>
          <w:rFonts w:ascii="Calibri" w:cs="Calibri" w:eastAsia="Calibri" w:hAnsi="Calibri"/>
          <w:b/>
          <w:bCs/>
          <w:color w:val="2E5496"/>
          <w:sz w:val="22"/>
          <w:szCs w:val="22"/>
        </w:rPr>
        <w:t xml:space="preserve">Q9. </w:t>
      </w:r>
      <w:r>
        <w:rPr>
          <w:rFonts w:ascii="Calibri" w:cs="Calibri" w:eastAsia="Calibri" w:hAnsi="Calibri"/>
          <w:b/>
          <w:bCs/>
          <w:color w:val="1F3864"/>
          <w:sz w:val="22"/>
          <w:szCs w:val="22"/>
        </w:rPr>
        <w:t xml:space="preserve">Quels sont les risques du projet et comment les maîtrise-t-on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Le risque principal n'est pas technique, il est humain : la résistance au changement. On le traite par la formation, la communication en amont et le recueil des retours tout au long du déploiement. La conduite du changement est un fil continu, pas une étape finale. Les autres risques, retards ou difficultés techniques, sont contenus par l'approche progressive : un pilote à petit périmètre révèle les problèmes avant qu'ils ne se propagent à l'échelle de l'entreprise.</w:t>
      </w:r>
    </w:p>
    <w:p>
      <w:pPr>
        <w:pBdr>
          <w:bottom w:val="single" w:color="D9E2F0" w:sz="6" w:space="3"/>
        </w:pBdr>
        <w:spacing w:after="80" w:before="220"/>
      </w:pPr>
      <w:r>
        <w:rPr>
          <w:rFonts w:ascii="Calibri" w:cs="Calibri" w:eastAsia="Calibri" w:hAnsi="Calibri"/>
          <w:b/>
          <w:bCs/>
          <w:color w:val="1F3864"/>
          <w:sz w:val="24"/>
          <w:szCs w:val="24"/>
        </w:rPr>
        <w:t xml:space="preserve">Modèle d'organisation</w:t>
      </w:r>
    </w:p>
    <w:p>
      <w:pPr>
        <w:spacing w:after="40" w:before="140"/>
      </w:pPr>
      <w:r>
        <w:rPr>
          <w:rFonts w:ascii="Calibri" w:cs="Calibri" w:eastAsia="Calibri" w:hAnsi="Calibri"/>
          <w:b/>
          <w:bCs/>
          <w:color w:val="2E5496"/>
          <w:sz w:val="22"/>
          <w:szCs w:val="22"/>
        </w:rPr>
        <w:t xml:space="preserve">Q10. </w:t>
      </w:r>
      <w:r>
        <w:rPr>
          <w:rFonts w:ascii="Calibri" w:cs="Calibri" w:eastAsia="Calibri" w:hAnsi="Calibri"/>
          <w:b/>
          <w:bCs/>
          <w:color w:val="1F3864"/>
          <w:sz w:val="22"/>
          <w:szCs w:val="22"/>
        </w:rPr>
        <w:t xml:space="preserve">Pourquoi un centre d'excellence plutôt qu'un modèle centralisé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Parce que le centre d'excellence cumule les bénéfices des deux modèles : la coordination centrale garantit une source unique de vérité, et les Data Stewards embarqués dans les métiers apportent la proximité et l'agilité. C'est le modèle adapté à notre taille et à notre dimension mondiale. Nous ne l'installons toutefois pas d'emblée : nous partons d'un socle centralisé pour bâtir les fondations, puis nous évoluons vers ce modèle cible. Cette trajectoire respecte notre niveau de maturité de départ.</w:t>
      </w:r>
    </w:p>
    <w:p>
      <w:pPr>
        <w:spacing w:after="40" w:before="140"/>
      </w:pPr>
      <w:r>
        <w:rPr>
          <w:rFonts w:ascii="Calibri" w:cs="Calibri" w:eastAsia="Calibri" w:hAnsi="Calibri"/>
          <w:b/>
          <w:bCs/>
          <w:color w:val="2E5496"/>
          <w:sz w:val="22"/>
          <w:szCs w:val="22"/>
        </w:rPr>
        <w:t xml:space="preserve">Q11. </w:t>
      </w:r>
      <w:r>
        <w:rPr>
          <w:rFonts w:ascii="Calibri" w:cs="Calibri" w:eastAsia="Calibri" w:hAnsi="Calibri"/>
          <w:b/>
          <w:bCs/>
          <w:color w:val="1F3864"/>
          <w:sz w:val="22"/>
          <w:szCs w:val="22"/>
        </w:rPr>
        <w:t xml:space="preserve">Ce cadre ne va-t-il pas ralentir les équipes et brider l'innovation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C'est l'inverse qui est visé. Une mauvaise gouvernance ralentit, car chacun cherche, recoupe et doute de ses données. Une bonne gouvernance accélère : des données fiables, documentées et accessibles font gagner du temps aux équipes. Les Data Stewards sont embarqués au plus près des métiers, précisément pour ne pas créer de goulot d'étranglement central. Et le cœur de notre innovation, l'algorithme de recommandation, reste maîtrisé en interne, la gouvernance servant à en surveiller la qualité et les biais, pas à le contraindre.</w:t>
      </w:r>
    </w:p>
    <w:p>
      <w:pPr>
        <w:pBdr>
          <w:bottom w:val="single" w:color="D9E2F0" w:sz="6" w:space="3"/>
        </w:pBdr>
        <w:spacing w:after="80" w:before="220"/>
      </w:pPr>
      <w:r>
        <w:rPr>
          <w:rFonts w:ascii="Calibri" w:cs="Calibri" w:eastAsia="Calibri" w:hAnsi="Calibri"/>
          <w:b/>
          <w:bCs/>
          <w:color w:val="1F3864"/>
          <w:sz w:val="24"/>
          <w:szCs w:val="24"/>
        </w:rPr>
        <w:t xml:space="preserve">Mesure et pérennité</w:t>
      </w:r>
    </w:p>
    <w:p>
      <w:pPr>
        <w:spacing w:after="40" w:before="140"/>
      </w:pPr>
      <w:r>
        <w:rPr>
          <w:rFonts w:ascii="Calibri" w:cs="Calibri" w:eastAsia="Calibri" w:hAnsi="Calibri"/>
          <w:b/>
          <w:bCs/>
          <w:color w:val="2E5496"/>
          <w:sz w:val="22"/>
          <w:szCs w:val="22"/>
        </w:rPr>
        <w:t xml:space="preserve">Q12. </w:t>
      </w:r>
      <w:r>
        <w:rPr>
          <w:rFonts w:ascii="Calibri" w:cs="Calibri" w:eastAsia="Calibri" w:hAnsi="Calibri"/>
          <w:b/>
          <w:bCs/>
          <w:color w:val="1F3864"/>
          <w:sz w:val="22"/>
          <w:szCs w:val="22"/>
        </w:rPr>
        <w:t xml:space="preserve">Comment mesure-t-on le succès, et comment le cadre évolue-t-il dans le temps ?</w:t>
      </w:r>
    </w:p>
    <w:p>
      <w:pPr>
        <w:spacing w:after="100" w:line="276"/>
        <w:jc w:val="both"/>
      </w:pPr>
      <w:r>
        <w:rPr>
          <w:rFonts w:ascii="Calibri" w:cs="Calibri" w:eastAsia="Calibri" w:hAnsi="Calibri"/>
          <w:b/>
          <w:bCs/>
          <w:color w:val="595959"/>
          <w:sz w:val="22"/>
          <w:szCs w:val="22"/>
        </w:rPr>
        <w:t xml:space="preserve">Réponse. </w:t>
      </w:r>
      <w:r>
        <w:rPr>
          <w:rFonts w:ascii="Calibri" w:cs="Calibri" w:eastAsia="Calibri" w:hAnsi="Calibri"/>
          <w:color w:val="000000"/>
          <w:sz w:val="22"/>
          <w:szCs w:val="22"/>
        </w:rPr>
        <w:t xml:space="preserve">Le succès se mesure par des indicateurs précis : couverture des Data Stewards, taux de conformité, qualité des données par dimension, part des jeux couverts par un contrat de données, délai de correction des anomalies. Ces indicateurs sont suivis dans la durée et complétés par des audits réguliers. Quant à la pérennité, l'amélioration continue est un principe fondateur : le cadre est révisé périodiquement pour intégrer les évolutions réglementaires, technologiques et les retours d'expérience. Il n'est pas figé, il évolue avec l'entreprise.</w:t>
      </w:r>
    </w:p>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rFonts w:ascii="Calibri" w:cs="Calibri" w:eastAsia="Calibri" w:hAnsi="Calibri"/>
        <w:color w:val="595959"/>
        <w:sz w:val="16"/>
        <w:szCs w:val="16"/>
      </w:rPr>
      <w:t xml:space="preserve">Guide de questions-réponses - Spotify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0d039147b22a246c70dff821744bfd60dc11e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2026-08-13T15:07:58.886Z</dcterms:created>
  <dcterms:modified xsi:type="dcterms:W3CDTF">2026-08-13T15:07:58.900Z</dcterms:modified>
</cp:coreProperties>
</file>

<file path=docProps/custom.xml><?xml version="1.0" encoding="utf-8"?>
<Properties xmlns="http://schemas.openxmlformats.org/officeDocument/2006/custom-properties" xmlns:vt="http://schemas.openxmlformats.org/officeDocument/2006/docPropsVTypes"/>
</file>