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971D" w14:textId="68D255BE" w:rsidR="008C6D99" w:rsidRPr="007A2E3B" w:rsidRDefault="008C6D99" w:rsidP="008C6D99">
      <w:pPr>
        <w:rPr>
          <w:rFonts w:asciiTheme="majorHAnsi" w:hAnsiTheme="majorHAnsi" w:cstheme="majorHAnsi"/>
          <w:sz w:val="24"/>
          <w:szCs w:val="24"/>
        </w:rPr>
      </w:pPr>
      <w:r w:rsidRPr="007A2E3B">
        <w:rPr>
          <w:rFonts w:asciiTheme="majorHAnsi" w:hAnsiTheme="majorHAnsi" w:cstheme="majorHAnsi"/>
          <w:sz w:val="24"/>
          <w:szCs w:val="24"/>
        </w:rPr>
        <w:t xml:space="preserve">Travail effectué du </w:t>
      </w:r>
      <w:r>
        <w:rPr>
          <w:rFonts w:asciiTheme="majorHAnsi" w:hAnsiTheme="majorHAnsi" w:cstheme="majorHAnsi"/>
          <w:sz w:val="24"/>
          <w:szCs w:val="24"/>
        </w:rPr>
        <w:t>16</w:t>
      </w:r>
      <w:r w:rsidRPr="007A2E3B">
        <w:rPr>
          <w:rFonts w:asciiTheme="majorHAnsi" w:hAnsiTheme="majorHAnsi" w:cstheme="majorHAnsi"/>
          <w:sz w:val="24"/>
          <w:szCs w:val="24"/>
        </w:rPr>
        <w:t xml:space="preserve"> au </w:t>
      </w:r>
      <w:r w:rsidR="00262F49">
        <w:rPr>
          <w:rFonts w:asciiTheme="majorHAnsi" w:hAnsiTheme="majorHAnsi" w:cstheme="majorHAnsi"/>
          <w:sz w:val="24"/>
          <w:szCs w:val="24"/>
        </w:rPr>
        <w:t>25</w:t>
      </w:r>
      <w:r w:rsidRPr="007A2E3B">
        <w:rPr>
          <w:rFonts w:asciiTheme="majorHAnsi" w:hAnsiTheme="majorHAnsi" w:cstheme="majorHAnsi"/>
          <w:sz w:val="24"/>
          <w:szCs w:val="24"/>
        </w:rPr>
        <w:t xml:space="preserve"> </w:t>
      </w:r>
      <w:r>
        <w:rPr>
          <w:rFonts w:asciiTheme="majorHAnsi" w:hAnsiTheme="majorHAnsi" w:cstheme="majorHAnsi"/>
          <w:sz w:val="24"/>
          <w:szCs w:val="24"/>
        </w:rPr>
        <w:t>mai</w:t>
      </w:r>
      <w:r w:rsidRPr="007A2E3B">
        <w:rPr>
          <w:rFonts w:asciiTheme="majorHAnsi" w:hAnsiTheme="majorHAnsi" w:cstheme="majorHAnsi"/>
          <w:sz w:val="24"/>
          <w:szCs w:val="24"/>
        </w:rPr>
        <w:t xml:space="preserve"> 2022 :</w:t>
      </w:r>
    </w:p>
    <w:p w14:paraId="4694FED1" w14:textId="0013AB9B" w:rsidR="008C6D99" w:rsidRPr="008C6D99" w:rsidRDefault="008C6D99" w:rsidP="00130B55">
      <w:pPr>
        <w:pStyle w:val="Paragraphedeliste"/>
        <w:numPr>
          <w:ilvl w:val="0"/>
          <w:numId w:val="2"/>
        </w:numPr>
        <w:rPr>
          <w:rFonts w:asciiTheme="majorHAnsi" w:hAnsiTheme="majorHAnsi" w:cstheme="majorHAnsi"/>
          <w:sz w:val="24"/>
          <w:szCs w:val="24"/>
        </w:rPr>
      </w:pPr>
      <w:r w:rsidRPr="008C6D99">
        <w:rPr>
          <w:rFonts w:asciiTheme="majorHAnsi" w:hAnsiTheme="majorHAnsi" w:cstheme="majorHAnsi"/>
          <w:sz w:val="24"/>
          <w:szCs w:val="24"/>
        </w:rPr>
        <w:t xml:space="preserve">Continuer </w:t>
      </w:r>
      <w:r>
        <w:rPr>
          <w:rFonts w:asciiTheme="majorHAnsi" w:hAnsiTheme="majorHAnsi" w:cstheme="majorHAnsi"/>
          <w:sz w:val="24"/>
          <w:szCs w:val="24"/>
        </w:rPr>
        <w:t>Recherche sur le cycle de vie des sources d’énergie avec l’énergie solaire</w:t>
      </w:r>
    </w:p>
    <w:p w14:paraId="768EED0F" w14:textId="1963EBE2" w:rsidR="008C6D99" w:rsidRPr="008C6D99" w:rsidRDefault="008C6D99" w:rsidP="00130B55">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Chercher et comprendre les termes suivants : </w:t>
      </w:r>
      <w:r w:rsidRPr="008C6D99">
        <w:rPr>
          <w:rFonts w:asciiTheme="majorHAnsi" w:hAnsiTheme="majorHAnsi" w:cstheme="majorHAnsi"/>
          <w:sz w:val="24"/>
          <w:szCs w:val="24"/>
        </w:rPr>
        <w:t>économie transactionnelle et régulée</w:t>
      </w:r>
      <w:r>
        <w:rPr>
          <w:rFonts w:asciiTheme="majorHAnsi" w:hAnsiTheme="majorHAnsi" w:cstheme="majorHAnsi"/>
          <w:sz w:val="24"/>
          <w:szCs w:val="24"/>
        </w:rPr>
        <w:t>,</w:t>
      </w:r>
      <w:r w:rsidRPr="008C6D99">
        <w:rPr>
          <w:rFonts w:asciiTheme="majorHAnsi" w:hAnsiTheme="majorHAnsi" w:cstheme="majorHAnsi"/>
          <w:sz w:val="24"/>
          <w:szCs w:val="24"/>
        </w:rPr>
        <w:t xml:space="preserve"> les libertariens</w:t>
      </w:r>
      <w:r>
        <w:rPr>
          <w:rFonts w:asciiTheme="majorHAnsi" w:hAnsiTheme="majorHAnsi" w:cstheme="majorHAnsi"/>
          <w:sz w:val="24"/>
          <w:szCs w:val="24"/>
        </w:rPr>
        <w:t xml:space="preserve">, </w:t>
      </w:r>
      <w:r w:rsidRPr="008C6D99">
        <w:rPr>
          <w:rFonts w:asciiTheme="majorHAnsi" w:hAnsiTheme="majorHAnsi" w:cstheme="majorHAnsi"/>
          <w:sz w:val="24"/>
          <w:szCs w:val="24"/>
        </w:rPr>
        <w:t>concept de volatilité en économie et</w:t>
      </w:r>
      <w:r>
        <w:rPr>
          <w:rFonts w:asciiTheme="majorHAnsi" w:hAnsiTheme="majorHAnsi" w:cstheme="majorHAnsi"/>
          <w:sz w:val="24"/>
          <w:szCs w:val="24"/>
        </w:rPr>
        <w:t xml:space="preserve"> la</w:t>
      </w:r>
      <w:r w:rsidRPr="008C6D99">
        <w:rPr>
          <w:rFonts w:asciiTheme="majorHAnsi" w:hAnsiTheme="majorHAnsi" w:cstheme="majorHAnsi"/>
          <w:sz w:val="24"/>
          <w:szCs w:val="24"/>
        </w:rPr>
        <w:t xml:space="preserve"> valeur réelle </w:t>
      </w:r>
    </w:p>
    <w:p w14:paraId="6219F193" w14:textId="64AB4E27" w:rsidR="008C6D99" w:rsidRDefault="008C6D99" w:rsidP="00130B55">
      <w:pPr>
        <w:pStyle w:val="Paragraphedeliste"/>
        <w:numPr>
          <w:ilvl w:val="0"/>
          <w:numId w:val="2"/>
        </w:numPr>
        <w:rPr>
          <w:rFonts w:asciiTheme="majorHAnsi" w:hAnsiTheme="majorHAnsi" w:cstheme="majorHAnsi"/>
          <w:sz w:val="24"/>
          <w:szCs w:val="24"/>
        </w:rPr>
      </w:pPr>
      <w:r w:rsidRPr="008C6D99">
        <w:rPr>
          <w:rFonts w:asciiTheme="majorHAnsi" w:hAnsiTheme="majorHAnsi" w:cstheme="majorHAnsi"/>
          <w:sz w:val="24"/>
          <w:szCs w:val="24"/>
        </w:rPr>
        <w:t>Faire un tableau comparatif des différents articles étudiés et améliorer leur</w:t>
      </w:r>
      <w:r>
        <w:rPr>
          <w:rFonts w:asciiTheme="majorHAnsi" w:hAnsiTheme="majorHAnsi" w:cstheme="majorHAnsi"/>
          <w:sz w:val="24"/>
          <w:szCs w:val="24"/>
        </w:rPr>
        <w:t xml:space="preserve">s </w:t>
      </w:r>
      <w:r w:rsidRPr="008C6D99">
        <w:rPr>
          <w:rFonts w:asciiTheme="majorHAnsi" w:hAnsiTheme="majorHAnsi" w:cstheme="majorHAnsi"/>
          <w:sz w:val="24"/>
          <w:szCs w:val="24"/>
        </w:rPr>
        <w:t>analyse</w:t>
      </w:r>
      <w:r>
        <w:rPr>
          <w:rFonts w:asciiTheme="majorHAnsi" w:hAnsiTheme="majorHAnsi" w:cstheme="majorHAnsi"/>
          <w:sz w:val="24"/>
          <w:szCs w:val="24"/>
        </w:rPr>
        <w:t xml:space="preserve">s </w:t>
      </w:r>
      <w:r w:rsidRPr="008C6D99">
        <w:rPr>
          <w:rFonts w:asciiTheme="majorHAnsi" w:hAnsiTheme="majorHAnsi" w:cstheme="majorHAnsi"/>
          <w:sz w:val="24"/>
          <w:szCs w:val="24"/>
        </w:rPr>
        <w:t>surtout les critiques</w:t>
      </w:r>
    </w:p>
    <w:p w14:paraId="0C21F8EB" w14:textId="4D70BA84" w:rsidR="008C6D99" w:rsidRDefault="008C6D99" w:rsidP="00130B55">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Faire </w:t>
      </w:r>
      <w:r w:rsidR="00130B55">
        <w:rPr>
          <w:rFonts w:asciiTheme="majorHAnsi" w:hAnsiTheme="majorHAnsi" w:cstheme="majorHAnsi"/>
          <w:sz w:val="24"/>
          <w:szCs w:val="24"/>
        </w:rPr>
        <w:t>la même étude</w:t>
      </w:r>
      <w:r>
        <w:rPr>
          <w:rFonts w:asciiTheme="majorHAnsi" w:hAnsiTheme="majorHAnsi" w:cstheme="majorHAnsi"/>
          <w:sz w:val="24"/>
          <w:szCs w:val="24"/>
        </w:rPr>
        <w:t xml:space="preserve"> pour les articles lus en mineur et les ajouter au tableau</w:t>
      </w:r>
    </w:p>
    <w:p w14:paraId="446281A1" w14:textId="5BCAE2AF" w:rsidR="008C6D99" w:rsidRDefault="008C6D99" w:rsidP="00130B55">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Commencer à rédiger une synthèse en anglais de ces articles</w:t>
      </w:r>
    </w:p>
    <w:p w14:paraId="11673B94" w14:textId="621575A8" w:rsidR="00130B55" w:rsidRDefault="00130B55" w:rsidP="00130B55">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Résoudre l’exercice de machine </w:t>
      </w:r>
      <w:proofErr w:type="spellStart"/>
      <w:r>
        <w:rPr>
          <w:rFonts w:asciiTheme="majorHAnsi" w:hAnsiTheme="majorHAnsi" w:cstheme="majorHAnsi"/>
          <w:sz w:val="24"/>
          <w:szCs w:val="24"/>
        </w:rPr>
        <w:t>learning</w:t>
      </w:r>
      <w:proofErr w:type="spellEnd"/>
      <w:r>
        <w:rPr>
          <w:rFonts w:asciiTheme="majorHAnsi" w:hAnsiTheme="majorHAnsi" w:cstheme="majorHAnsi"/>
          <w:sz w:val="24"/>
          <w:szCs w:val="24"/>
        </w:rPr>
        <w:t> : classification</w:t>
      </w:r>
    </w:p>
    <w:p w14:paraId="6C4F9548" w14:textId="3EFAB031" w:rsidR="00130B55" w:rsidRDefault="00130B55" w:rsidP="00130B55">
      <w:pPr>
        <w:rPr>
          <w:rFonts w:asciiTheme="majorHAnsi" w:hAnsiTheme="majorHAnsi" w:cstheme="majorHAnsi"/>
          <w:sz w:val="24"/>
          <w:szCs w:val="24"/>
        </w:rPr>
      </w:pPr>
    </w:p>
    <w:p w14:paraId="32460F95" w14:textId="44D0A16B" w:rsidR="00130B55" w:rsidRDefault="00130B55" w:rsidP="00130B55">
      <w:pPr>
        <w:rPr>
          <w:rFonts w:asciiTheme="majorHAnsi" w:hAnsiTheme="majorHAnsi" w:cstheme="majorHAnsi"/>
          <w:sz w:val="24"/>
          <w:szCs w:val="24"/>
        </w:rPr>
      </w:pPr>
    </w:p>
    <w:p w14:paraId="12CD5AFE" w14:textId="6B2882EF" w:rsidR="00130B55" w:rsidRDefault="00130B55" w:rsidP="00130B55">
      <w:pPr>
        <w:rPr>
          <w:rFonts w:asciiTheme="majorHAnsi" w:hAnsiTheme="majorHAnsi" w:cstheme="majorHAnsi"/>
          <w:sz w:val="24"/>
          <w:szCs w:val="24"/>
        </w:rPr>
      </w:pPr>
    </w:p>
    <w:p w14:paraId="0C3401AA" w14:textId="42308D88" w:rsidR="00130B55" w:rsidRDefault="00130B55" w:rsidP="00130B55">
      <w:pPr>
        <w:rPr>
          <w:rFonts w:asciiTheme="majorHAnsi" w:hAnsiTheme="majorHAnsi" w:cstheme="majorHAnsi"/>
          <w:sz w:val="24"/>
          <w:szCs w:val="24"/>
        </w:rPr>
      </w:pPr>
    </w:p>
    <w:p w14:paraId="5BB26BC7" w14:textId="66DD952C" w:rsidR="00130B55" w:rsidRDefault="00130B55" w:rsidP="00130B55">
      <w:pPr>
        <w:rPr>
          <w:rFonts w:asciiTheme="majorHAnsi" w:hAnsiTheme="majorHAnsi" w:cstheme="majorHAnsi"/>
          <w:sz w:val="24"/>
          <w:szCs w:val="24"/>
        </w:rPr>
      </w:pPr>
    </w:p>
    <w:p w14:paraId="5DB097B1" w14:textId="5AB851EB" w:rsidR="00130B55" w:rsidRDefault="00130B55" w:rsidP="00130B55">
      <w:pPr>
        <w:rPr>
          <w:rFonts w:asciiTheme="majorHAnsi" w:hAnsiTheme="majorHAnsi" w:cstheme="majorHAnsi"/>
          <w:sz w:val="24"/>
          <w:szCs w:val="24"/>
        </w:rPr>
      </w:pPr>
    </w:p>
    <w:p w14:paraId="6C2B7E6F" w14:textId="5B9E4EE6" w:rsidR="00130B55" w:rsidRDefault="00130B55" w:rsidP="00130B55">
      <w:pPr>
        <w:rPr>
          <w:rFonts w:asciiTheme="majorHAnsi" w:hAnsiTheme="majorHAnsi" w:cstheme="majorHAnsi"/>
          <w:sz w:val="24"/>
          <w:szCs w:val="24"/>
        </w:rPr>
      </w:pPr>
    </w:p>
    <w:p w14:paraId="6345C104" w14:textId="060AB323" w:rsidR="00130B55" w:rsidRDefault="00130B55" w:rsidP="00130B55">
      <w:pPr>
        <w:rPr>
          <w:rFonts w:asciiTheme="majorHAnsi" w:hAnsiTheme="majorHAnsi" w:cstheme="majorHAnsi"/>
          <w:sz w:val="24"/>
          <w:szCs w:val="24"/>
        </w:rPr>
      </w:pPr>
    </w:p>
    <w:p w14:paraId="638702C8" w14:textId="4D828DEB" w:rsidR="00130B55" w:rsidRDefault="00130B55" w:rsidP="00130B55">
      <w:pPr>
        <w:rPr>
          <w:rFonts w:asciiTheme="majorHAnsi" w:hAnsiTheme="majorHAnsi" w:cstheme="majorHAnsi"/>
          <w:sz w:val="24"/>
          <w:szCs w:val="24"/>
        </w:rPr>
      </w:pPr>
    </w:p>
    <w:p w14:paraId="248B535A" w14:textId="10097B84" w:rsidR="00130B55" w:rsidRDefault="00130B55" w:rsidP="00130B55">
      <w:pPr>
        <w:rPr>
          <w:rFonts w:asciiTheme="majorHAnsi" w:hAnsiTheme="majorHAnsi" w:cstheme="majorHAnsi"/>
          <w:sz w:val="24"/>
          <w:szCs w:val="24"/>
        </w:rPr>
      </w:pPr>
    </w:p>
    <w:p w14:paraId="56D425EF" w14:textId="23C01765" w:rsidR="00130B55" w:rsidRDefault="00130B55" w:rsidP="00130B55">
      <w:pPr>
        <w:rPr>
          <w:rFonts w:asciiTheme="majorHAnsi" w:hAnsiTheme="majorHAnsi" w:cstheme="majorHAnsi"/>
          <w:sz w:val="24"/>
          <w:szCs w:val="24"/>
        </w:rPr>
      </w:pPr>
    </w:p>
    <w:p w14:paraId="1B4E41CE" w14:textId="243F3396" w:rsidR="00130B55" w:rsidRDefault="00130B55" w:rsidP="00130B55">
      <w:pPr>
        <w:rPr>
          <w:rFonts w:asciiTheme="majorHAnsi" w:hAnsiTheme="majorHAnsi" w:cstheme="majorHAnsi"/>
          <w:sz w:val="24"/>
          <w:szCs w:val="24"/>
        </w:rPr>
      </w:pPr>
    </w:p>
    <w:p w14:paraId="27AABA5D" w14:textId="5BBC5674" w:rsidR="00130B55" w:rsidRDefault="00130B55" w:rsidP="00130B55">
      <w:pPr>
        <w:rPr>
          <w:rFonts w:asciiTheme="majorHAnsi" w:hAnsiTheme="majorHAnsi" w:cstheme="majorHAnsi"/>
          <w:sz w:val="24"/>
          <w:szCs w:val="24"/>
        </w:rPr>
      </w:pPr>
    </w:p>
    <w:p w14:paraId="634D83B8" w14:textId="2FC3130B" w:rsidR="00130B55" w:rsidRDefault="00130B55" w:rsidP="00130B55">
      <w:pPr>
        <w:rPr>
          <w:rFonts w:asciiTheme="majorHAnsi" w:hAnsiTheme="majorHAnsi" w:cstheme="majorHAnsi"/>
          <w:sz w:val="24"/>
          <w:szCs w:val="24"/>
        </w:rPr>
      </w:pPr>
    </w:p>
    <w:p w14:paraId="69BE67BB" w14:textId="489E6FDD" w:rsidR="00130B55" w:rsidRDefault="00130B55" w:rsidP="00130B55">
      <w:pPr>
        <w:rPr>
          <w:rFonts w:asciiTheme="majorHAnsi" w:hAnsiTheme="majorHAnsi" w:cstheme="majorHAnsi"/>
          <w:sz w:val="24"/>
          <w:szCs w:val="24"/>
        </w:rPr>
      </w:pPr>
    </w:p>
    <w:p w14:paraId="01363F97" w14:textId="19323037" w:rsidR="00130B55" w:rsidRDefault="00130B55" w:rsidP="00130B55">
      <w:pPr>
        <w:rPr>
          <w:rFonts w:asciiTheme="majorHAnsi" w:hAnsiTheme="majorHAnsi" w:cstheme="majorHAnsi"/>
          <w:sz w:val="24"/>
          <w:szCs w:val="24"/>
        </w:rPr>
      </w:pPr>
    </w:p>
    <w:p w14:paraId="357075D7" w14:textId="36657F80" w:rsidR="00130B55" w:rsidRDefault="00130B55" w:rsidP="00130B55">
      <w:pPr>
        <w:rPr>
          <w:rFonts w:asciiTheme="majorHAnsi" w:hAnsiTheme="majorHAnsi" w:cstheme="majorHAnsi"/>
          <w:sz w:val="24"/>
          <w:szCs w:val="24"/>
        </w:rPr>
      </w:pPr>
    </w:p>
    <w:p w14:paraId="6ED9311B" w14:textId="1D3DD052" w:rsidR="00130B55" w:rsidRDefault="00130B55" w:rsidP="00130B55">
      <w:pPr>
        <w:rPr>
          <w:rFonts w:asciiTheme="majorHAnsi" w:hAnsiTheme="majorHAnsi" w:cstheme="majorHAnsi"/>
          <w:sz w:val="24"/>
          <w:szCs w:val="24"/>
        </w:rPr>
      </w:pPr>
    </w:p>
    <w:p w14:paraId="676DA8D6" w14:textId="74F30BC8" w:rsidR="00130B55" w:rsidRDefault="00130B55" w:rsidP="00130B55">
      <w:pPr>
        <w:rPr>
          <w:rFonts w:asciiTheme="majorHAnsi" w:hAnsiTheme="majorHAnsi" w:cstheme="majorHAnsi"/>
          <w:sz w:val="24"/>
          <w:szCs w:val="24"/>
        </w:rPr>
      </w:pPr>
    </w:p>
    <w:p w14:paraId="2B17E308" w14:textId="4E6D689F" w:rsidR="00130B55" w:rsidRDefault="00130B55" w:rsidP="00130B55">
      <w:pPr>
        <w:rPr>
          <w:rFonts w:asciiTheme="majorHAnsi" w:hAnsiTheme="majorHAnsi" w:cstheme="majorHAnsi"/>
          <w:sz w:val="24"/>
          <w:szCs w:val="24"/>
        </w:rPr>
      </w:pPr>
    </w:p>
    <w:p w14:paraId="565376E0" w14:textId="5B04446B" w:rsidR="00130B55" w:rsidRDefault="00130B55" w:rsidP="00130B55">
      <w:pPr>
        <w:rPr>
          <w:rFonts w:asciiTheme="majorHAnsi" w:hAnsiTheme="majorHAnsi" w:cstheme="majorHAnsi"/>
          <w:sz w:val="24"/>
          <w:szCs w:val="24"/>
        </w:rPr>
      </w:pPr>
    </w:p>
    <w:p w14:paraId="66E966E9" w14:textId="231DD4BC" w:rsidR="00130B55" w:rsidRDefault="00130B55" w:rsidP="00130B55">
      <w:pPr>
        <w:rPr>
          <w:rFonts w:asciiTheme="majorHAnsi" w:hAnsiTheme="majorHAnsi" w:cstheme="majorHAnsi"/>
          <w:sz w:val="24"/>
          <w:szCs w:val="24"/>
        </w:rPr>
      </w:pPr>
    </w:p>
    <w:p w14:paraId="6B9BE673" w14:textId="439D1ACE" w:rsidR="00130B55" w:rsidRPr="00381BC9" w:rsidRDefault="00130B55" w:rsidP="00130B55">
      <w:pPr>
        <w:jc w:val="center"/>
        <w:rPr>
          <w:rFonts w:asciiTheme="majorHAnsi" w:hAnsiTheme="majorHAnsi" w:cstheme="majorHAnsi"/>
          <w:sz w:val="56"/>
          <w:szCs w:val="56"/>
          <w:lang w:val="en-US"/>
        </w:rPr>
      </w:pPr>
      <w:r w:rsidRPr="00130B55">
        <w:rPr>
          <w:rFonts w:asciiTheme="majorHAnsi" w:hAnsiTheme="majorHAnsi" w:cstheme="majorHAnsi"/>
          <w:sz w:val="56"/>
          <w:szCs w:val="56"/>
          <w:lang w:val="en-US"/>
        </w:rPr>
        <w:lastRenderedPageBreak/>
        <w:t>Energy and Policy Considerations for Deep Learning in NLP</w:t>
      </w:r>
    </w:p>
    <w:p w14:paraId="4A76ECD7" w14:textId="18B2AB9B" w:rsidR="00130B55" w:rsidRDefault="00130B55" w:rsidP="00130B55">
      <w:pPr>
        <w:rPr>
          <w:rFonts w:asciiTheme="majorHAnsi" w:hAnsiTheme="majorHAnsi" w:cstheme="majorHAnsi"/>
          <w:sz w:val="24"/>
          <w:szCs w:val="24"/>
          <w:lang w:val="en-US"/>
        </w:rPr>
      </w:pPr>
    </w:p>
    <w:p w14:paraId="4599CE09" w14:textId="77777777" w:rsidR="00381BC9" w:rsidRDefault="00130B55" w:rsidP="00130B55">
      <w:pPr>
        <w:rPr>
          <w:rStyle w:val="normaltextrun"/>
          <w:rFonts w:asciiTheme="majorHAnsi" w:hAnsiTheme="majorHAnsi" w:cstheme="majorHAnsi"/>
        </w:rPr>
      </w:pPr>
      <w:r w:rsidRPr="001220EE">
        <w:rPr>
          <w:rStyle w:val="normaltextrun"/>
          <w:rFonts w:asciiTheme="majorHAnsi" w:hAnsiTheme="majorHAnsi" w:cstheme="majorHAnsi"/>
        </w:rPr>
        <w:t>La problématique :</w:t>
      </w:r>
    </w:p>
    <w:p w14:paraId="55B939A3" w14:textId="56228220" w:rsidR="00130B55" w:rsidRDefault="00F74477" w:rsidP="00130B55">
      <w:pPr>
        <w:rPr>
          <w:rStyle w:val="normaltextrun"/>
          <w:rFonts w:asciiTheme="majorHAnsi" w:hAnsiTheme="majorHAnsi" w:cstheme="majorHAnsi"/>
        </w:rPr>
      </w:pPr>
      <w:r>
        <w:rPr>
          <w:rStyle w:val="normaltextrun"/>
          <w:rFonts w:asciiTheme="majorHAnsi" w:hAnsiTheme="majorHAnsi" w:cstheme="majorHAnsi"/>
        </w:rPr>
        <w:t>Q</w:t>
      </w:r>
      <w:r w:rsidRPr="00F74477">
        <w:rPr>
          <w:rStyle w:val="normaltextrun"/>
          <w:rFonts w:asciiTheme="majorHAnsi" w:hAnsiTheme="majorHAnsi" w:cstheme="majorHAnsi"/>
        </w:rPr>
        <w:t>uantifier les coûts financiers et environnementaux approximatifs de la formation d'une variété de modèles de réseaux neuronaux ayant connu un succès récent pour le traitement automatique des langues, afin de sensibiliser les chercheurs.</w:t>
      </w:r>
    </w:p>
    <w:p w14:paraId="1541AFC7" w14:textId="7DAEC9A2" w:rsidR="00130B55" w:rsidRDefault="00130B55" w:rsidP="00130B55">
      <w:pPr>
        <w:rPr>
          <w:rStyle w:val="normaltextrun"/>
          <w:rFonts w:asciiTheme="majorHAnsi" w:hAnsiTheme="majorHAnsi" w:cstheme="majorHAnsi"/>
        </w:rPr>
      </w:pPr>
      <w:r w:rsidRPr="001220EE">
        <w:rPr>
          <w:rStyle w:val="normaltextrun"/>
          <w:rFonts w:asciiTheme="majorHAnsi" w:hAnsiTheme="majorHAnsi" w:cstheme="majorHAnsi"/>
        </w:rPr>
        <w:t>La méthode :</w:t>
      </w:r>
    </w:p>
    <w:p w14:paraId="4EA34A71" w14:textId="12D98A0D" w:rsidR="00760A5B" w:rsidRPr="00760A5B" w:rsidRDefault="00760A5B" w:rsidP="00760A5B">
      <w:pPr>
        <w:pStyle w:val="Paragraphedeliste"/>
        <w:numPr>
          <w:ilvl w:val="0"/>
          <w:numId w:val="3"/>
        </w:numPr>
        <w:rPr>
          <w:rStyle w:val="normaltextrun"/>
          <w:rFonts w:asciiTheme="majorHAnsi" w:hAnsiTheme="majorHAnsi" w:cstheme="majorHAnsi"/>
        </w:rPr>
      </w:pPr>
      <w:r>
        <w:rPr>
          <w:rStyle w:val="normaltextrun"/>
          <w:rFonts w:asciiTheme="majorHAnsi" w:hAnsiTheme="majorHAnsi" w:cstheme="majorHAnsi"/>
        </w:rPr>
        <w:t xml:space="preserve">Les auteurs de l’article </w:t>
      </w:r>
      <w:r w:rsidRPr="00760A5B">
        <w:rPr>
          <w:rStyle w:val="normaltextrun"/>
          <w:rFonts w:asciiTheme="majorHAnsi" w:hAnsiTheme="majorHAnsi" w:cstheme="majorHAnsi"/>
        </w:rPr>
        <w:t xml:space="preserve">effectuent une analyse de l'énergie nécessaire à l'entraînement d'une variété de modèles populaires de </w:t>
      </w:r>
      <w:r w:rsidR="00E873CD">
        <w:rPr>
          <w:rStyle w:val="normaltextrun"/>
          <w:rFonts w:asciiTheme="majorHAnsi" w:hAnsiTheme="majorHAnsi" w:cstheme="majorHAnsi"/>
        </w:rPr>
        <w:t xml:space="preserve">NLP (Transformer, </w:t>
      </w:r>
      <w:proofErr w:type="spellStart"/>
      <w:r w:rsidR="00E873CD">
        <w:rPr>
          <w:rStyle w:val="normaltextrun"/>
          <w:rFonts w:asciiTheme="majorHAnsi" w:hAnsiTheme="majorHAnsi" w:cstheme="majorHAnsi"/>
        </w:rPr>
        <w:t>ELMo</w:t>
      </w:r>
      <w:proofErr w:type="spellEnd"/>
      <w:r w:rsidR="00E873CD">
        <w:rPr>
          <w:rStyle w:val="normaltextrun"/>
          <w:rFonts w:asciiTheme="majorHAnsi" w:hAnsiTheme="majorHAnsi" w:cstheme="majorHAnsi"/>
        </w:rPr>
        <w:t>, BERT, GPT-2)</w:t>
      </w:r>
      <w:r w:rsidRPr="00760A5B">
        <w:rPr>
          <w:rStyle w:val="normaltextrun"/>
          <w:rFonts w:asciiTheme="majorHAnsi" w:hAnsiTheme="majorHAnsi" w:cstheme="majorHAnsi"/>
        </w:rPr>
        <w:t xml:space="preserve">, ainsi qu'une étude de cas de la somme complète des ressources nécessaires au développement de LISA y compris tous les réglages (tuning) et l'expérimentation. Pour mesurer l'utilisation de l'énergie les auteurs entraînent les modèles utilisant les paramètres par défaut fournis, et échantillonnent la consommation d'énergie du GPU et du CPU pendant l'entraînement. Chaque modèle a été entraîné pendant un jour maximum. Tous les modèles </w:t>
      </w:r>
      <w:r w:rsidR="00E873CD" w:rsidRPr="00760A5B">
        <w:rPr>
          <w:rStyle w:val="normaltextrun"/>
          <w:rFonts w:asciiTheme="majorHAnsi" w:hAnsiTheme="majorHAnsi" w:cstheme="majorHAnsi"/>
        </w:rPr>
        <w:t>sont</w:t>
      </w:r>
      <w:r w:rsidRPr="00760A5B">
        <w:rPr>
          <w:rStyle w:val="normaltextrun"/>
          <w:rFonts w:asciiTheme="majorHAnsi" w:hAnsiTheme="majorHAnsi" w:cstheme="majorHAnsi"/>
        </w:rPr>
        <w:t xml:space="preserve"> </w:t>
      </w:r>
      <w:r w:rsidR="00381BC9" w:rsidRPr="00760A5B">
        <w:rPr>
          <w:rStyle w:val="normaltextrun"/>
          <w:rFonts w:asciiTheme="majorHAnsi" w:hAnsiTheme="majorHAnsi" w:cstheme="majorHAnsi"/>
        </w:rPr>
        <w:t>formés</w:t>
      </w:r>
      <w:r w:rsidRPr="00760A5B">
        <w:rPr>
          <w:rStyle w:val="normaltextrun"/>
          <w:rFonts w:asciiTheme="majorHAnsi" w:hAnsiTheme="majorHAnsi" w:cstheme="majorHAnsi"/>
        </w:rPr>
        <w:t xml:space="preserve"> sur un seul GPU NVIDIA Titan X, à l'exception d'</w:t>
      </w:r>
      <w:proofErr w:type="spellStart"/>
      <w:r w:rsidRPr="00760A5B">
        <w:rPr>
          <w:rStyle w:val="normaltextrun"/>
          <w:rFonts w:asciiTheme="majorHAnsi" w:hAnsiTheme="majorHAnsi" w:cstheme="majorHAnsi"/>
        </w:rPr>
        <w:t>ELMo</w:t>
      </w:r>
      <w:proofErr w:type="spellEnd"/>
      <w:r w:rsidRPr="00760A5B">
        <w:rPr>
          <w:rStyle w:val="normaltextrun"/>
          <w:rFonts w:asciiTheme="majorHAnsi" w:hAnsiTheme="majorHAnsi" w:cstheme="majorHAnsi"/>
        </w:rPr>
        <w:t xml:space="preserve"> qui a été formé sur 3 GPU NVIDIA GTX 1080 Ti. Pendant l'entraînement, un </w:t>
      </w:r>
      <w:r w:rsidR="00E873CD" w:rsidRPr="00760A5B">
        <w:rPr>
          <w:rStyle w:val="normaltextrun"/>
          <w:rFonts w:asciiTheme="majorHAnsi" w:hAnsiTheme="majorHAnsi" w:cstheme="majorHAnsi"/>
        </w:rPr>
        <w:t>échantillonnage</w:t>
      </w:r>
      <w:r w:rsidRPr="00760A5B">
        <w:rPr>
          <w:rStyle w:val="normaltextrun"/>
          <w:rFonts w:asciiTheme="majorHAnsi" w:hAnsiTheme="majorHAnsi" w:cstheme="majorHAnsi"/>
        </w:rPr>
        <w:t xml:space="preserve"> de la consommation d'énergie du GPU est effectué de manière répétée. Les auteurs ont ensuite calculé la moyenne de tous les échantillons. Pour échantillonner la consommation d'énergie du CPU, l’interface Running </w:t>
      </w:r>
      <w:proofErr w:type="spellStart"/>
      <w:r w:rsidRPr="00760A5B">
        <w:rPr>
          <w:rStyle w:val="normaltextrun"/>
          <w:rFonts w:asciiTheme="majorHAnsi" w:hAnsiTheme="majorHAnsi" w:cstheme="majorHAnsi"/>
        </w:rPr>
        <w:t>Average</w:t>
      </w:r>
      <w:proofErr w:type="spellEnd"/>
      <w:r w:rsidRPr="00760A5B">
        <w:rPr>
          <w:rStyle w:val="normaltextrun"/>
          <w:rFonts w:asciiTheme="majorHAnsi" w:hAnsiTheme="majorHAnsi" w:cstheme="majorHAnsi"/>
        </w:rPr>
        <w:t xml:space="preserve"> Power Limit d'Intel a</w:t>
      </w:r>
      <w:r w:rsidR="00E873CD">
        <w:rPr>
          <w:rStyle w:val="normaltextrun"/>
          <w:rFonts w:asciiTheme="majorHAnsi" w:hAnsiTheme="majorHAnsi" w:cstheme="majorHAnsi"/>
        </w:rPr>
        <w:t xml:space="preserve"> </w:t>
      </w:r>
      <w:r w:rsidRPr="00760A5B">
        <w:rPr>
          <w:rStyle w:val="normaltextrun"/>
          <w:rFonts w:asciiTheme="majorHAnsi" w:hAnsiTheme="majorHAnsi" w:cstheme="majorHAnsi"/>
        </w:rPr>
        <w:t>été utilisée. Le temps total prévu pour que les modèles s'entraînent jusqu'à la fin a été estimé en utilisant les temps d'entraînement et le matériel indiqués dans les articles originaux. Ensuite, la consommation d'énergie en kilowattheures (kWh) est calculée comme suit</w:t>
      </w:r>
      <w:r>
        <w:rPr>
          <w:rStyle w:val="normaltextrun"/>
          <w:rFonts w:asciiTheme="majorHAnsi" w:hAnsiTheme="majorHAnsi" w:cstheme="majorHAnsi"/>
        </w:rPr>
        <w:t> :</w:t>
      </w:r>
    </w:p>
    <w:p w14:paraId="2DA30FEB" w14:textId="77777777" w:rsidR="00760A5B" w:rsidRDefault="00760A5B" w:rsidP="00760A5B">
      <w:pPr>
        <w:ind w:left="708" w:firstLine="348"/>
        <w:rPr>
          <w:rStyle w:val="normaltextrun"/>
          <w:rFonts w:asciiTheme="majorHAnsi" w:hAnsiTheme="majorHAnsi" w:cstheme="majorHAnsi"/>
        </w:rPr>
      </w:pPr>
      <w:r w:rsidRPr="00760A5B">
        <w:rPr>
          <w:rStyle w:val="normaltextrun"/>
          <w:rFonts w:asciiTheme="majorHAnsi" w:hAnsiTheme="majorHAnsi" w:cstheme="majorHAnsi"/>
        </w:rPr>
        <w:t xml:space="preserve">Soit pc la consommation moyenne (en watts) de tous les supports de CPU pendant la formation, soit </w:t>
      </w:r>
      <w:proofErr w:type="spellStart"/>
      <w:r w:rsidRPr="00760A5B">
        <w:rPr>
          <w:rStyle w:val="normaltextrun"/>
          <w:rFonts w:asciiTheme="majorHAnsi" w:hAnsiTheme="majorHAnsi" w:cstheme="majorHAnsi"/>
        </w:rPr>
        <w:t>pr</w:t>
      </w:r>
      <w:proofErr w:type="spellEnd"/>
      <w:r w:rsidRPr="00760A5B">
        <w:rPr>
          <w:rStyle w:val="normaltextrun"/>
          <w:rFonts w:asciiTheme="majorHAnsi" w:hAnsiTheme="majorHAnsi" w:cstheme="majorHAnsi"/>
        </w:rPr>
        <w:t xml:space="preserve"> la consommation moyenne de tous les supports de DRAM (mémoire principale), soit </w:t>
      </w:r>
      <w:proofErr w:type="spellStart"/>
      <w:r w:rsidRPr="00760A5B">
        <w:rPr>
          <w:rStyle w:val="normaltextrun"/>
          <w:rFonts w:asciiTheme="majorHAnsi" w:hAnsiTheme="majorHAnsi" w:cstheme="majorHAnsi"/>
        </w:rPr>
        <w:t>pg</w:t>
      </w:r>
      <w:proofErr w:type="spellEnd"/>
      <w:r w:rsidRPr="00760A5B">
        <w:rPr>
          <w:rStyle w:val="normaltextrun"/>
          <w:rFonts w:asciiTheme="majorHAnsi" w:hAnsiTheme="majorHAnsi" w:cstheme="majorHAnsi"/>
        </w:rPr>
        <w:t xml:space="preserve"> la consommation moyenne d'un GPU pendant la formation, et soit g le nombre de GPU utilisés pour la formation. La consommation d'énergie totale est estimée en combinant la consommation du GPU, du CPU et de la DRAM, puis en la multipliant par le PUE (Power Usage </w:t>
      </w:r>
      <w:proofErr w:type="spellStart"/>
      <w:r w:rsidRPr="00760A5B">
        <w:rPr>
          <w:rStyle w:val="normaltextrun"/>
          <w:rFonts w:asciiTheme="majorHAnsi" w:hAnsiTheme="majorHAnsi" w:cstheme="majorHAnsi"/>
        </w:rPr>
        <w:t>Effectiveness</w:t>
      </w:r>
      <w:proofErr w:type="spellEnd"/>
      <w:r w:rsidRPr="00760A5B">
        <w:rPr>
          <w:rStyle w:val="normaltextrun"/>
          <w:rFonts w:asciiTheme="majorHAnsi" w:hAnsiTheme="majorHAnsi" w:cstheme="majorHAnsi"/>
        </w:rPr>
        <w:t>), qui tient compte de l'énergie supplémentaire requise pour</w:t>
      </w:r>
      <w:r>
        <w:rPr>
          <w:rStyle w:val="normaltextrun"/>
          <w:rFonts w:asciiTheme="majorHAnsi" w:hAnsiTheme="majorHAnsi" w:cstheme="majorHAnsi"/>
        </w:rPr>
        <w:t xml:space="preserve"> </w:t>
      </w:r>
      <w:r w:rsidRPr="00760A5B">
        <w:rPr>
          <w:rStyle w:val="normaltextrun"/>
          <w:rFonts w:asciiTheme="majorHAnsi" w:hAnsiTheme="majorHAnsi" w:cstheme="majorHAnsi"/>
        </w:rPr>
        <w:t>soutenir l'infrastructure informatique (principalement le refroidissement). Le coefficient PUE</w:t>
      </w:r>
      <w:r>
        <w:rPr>
          <w:rStyle w:val="normaltextrun"/>
          <w:rFonts w:asciiTheme="majorHAnsi" w:hAnsiTheme="majorHAnsi" w:cstheme="majorHAnsi"/>
        </w:rPr>
        <w:t xml:space="preserve"> </w:t>
      </w:r>
      <w:proofErr w:type="gramStart"/>
      <w:r w:rsidRPr="00760A5B">
        <w:rPr>
          <w:rStyle w:val="normaltextrun"/>
          <w:rFonts w:asciiTheme="majorHAnsi" w:hAnsiTheme="majorHAnsi" w:cstheme="majorHAnsi"/>
        </w:rPr>
        <w:t>utilisé</w:t>
      </w:r>
      <w:proofErr w:type="gramEnd"/>
      <w:r w:rsidRPr="00760A5B">
        <w:rPr>
          <w:rStyle w:val="normaltextrun"/>
          <w:rFonts w:asciiTheme="majorHAnsi" w:hAnsiTheme="majorHAnsi" w:cstheme="majorHAnsi"/>
        </w:rPr>
        <w:t xml:space="preserve"> dans les calculs des auteurs et de 1,58, soit la moyenne mondiale de 2018 pour les centres de données (</w:t>
      </w:r>
      <w:proofErr w:type="spellStart"/>
      <w:r w:rsidRPr="00760A5B">
        <w:rPr>
          <w:rStyle w:val="normaltextrun"/>
          <w:rFonts w:asciiTheme="majorHAnsi" w:hAnsiTheme="majorHAnsi" w:cstheme="majorHAnsi"/>
        </w:rPr>
        <w:t>Ascierto</w:t>
      </w:r>
      <w:proofErr w:type="spellEnd"/>
      <w:r w:rsidRPr="00760A5B">
        <w:rPr>
          <w:rStyle w:val="normaltextrun"/>
          <w:rFonts w:asciiTheme="majorHAnsi" w:hAnsiTheme="majorHAnsi" w:cstheme="majorHAnsi"/>
        </w:rPr>
        <w:t>). Ensuite, la puissance totale pt requise à une instance donnée pendant l'entraînement est donnée par</w:t>
      </w:r>
      <w:r>
        <w:rPr>
          <w:rStyle w:val="normaltextrun"/>
          <w:rFonts w:asciiTheme="majorHAnsi" w:hAnsiTheme="majorHAnsi" w:cstheme="majorHAnsi"/>
        </w:rPr>
        <w:t xml:space="preserve"> l’équation suivante </w:t>
      </w:r>
      <w:r w:rsidRPr="00760A5B">
        <w:rPr>
          <w:rStyle w:val="normaltextrun"/>
          <w:rFonts w:asciiTheme="majorHAnsi" w:hAnsiTheme="majorHAnsi" w:cstheme="majorHAnsi"/>
        </w:rPr>
        <w:t>:</w:t>
      </w:r>
    </w:p>
    <w:p w14:paraId="7E7FAE51" w14:textId="13F240E6" w:rsidR="00760A5B" w:rsidRDefault="00760A5B" w:rsidP="00760A5B">
      <w:pPr>
        <w:ind w:left="708" w:firstLine="348"/>
        <w:jc w:val="center"/>
        <w:rPr>
          <w:rStyle w:val="normaltextrun"/>
          <w:rFonts w:asciiTheme="majorHAnsi" w:hAnsiTheme="majorHAnsi" w:cstheme="majorHAnsi"/>
        </w:rPr>
      </w:pPr>
      <w:r>
        <w:rPr>
          <w:noProof/>
        </w:rPr>
        <w:drawing>
          <wp:inline distT="0" distB="0" distL="0" distR="0" wp14:anchorId="0233F2C8" wp14:editId="1DF59F6D">
            <wp:extent cx="2552700" cy="51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514350"/>
                    </a:xfrm>
                    <a:prstGeom prst="rect">
                      <a:avLst/>
                    </a:prstGeom>
                  </pic:spPr>
                </pic:pic>
              </a:graphicData>
            </a:graphic>
          </wp:inline>
        </w:drawing>
      </w:r>
    </w:p>
    <w:p w14:paraId="1CED3B0B" w14:textId="7A41747C" w:rsidR="005407A7" w:rsidRDefault="00760A5B" w:rsidP="005407A7">
      <w:pPr>
        <w:ind w:left="708" w:firstLine="348"/>
        <w:rPr>
          <w:rStyle w:val="normaltextrun"/>
          <w:rFonts w:asciiTheme="majorHAnsi" w:hAnsiTheme="majorHAnsi" w:cstheme="majorHAnsi"/>
        </w:rPr>
      </w:pPr>
      <w:r>
        <w:rPr>
          <w:rStyle w:val="normaltextrun"/>
          <w:rFonts w:asciiTheme="majorHAnsi" w:hAnsiTheme="majorHAnsi" w:cstheme="majorHAnsi"/>
        </w:rPr>
        <w:t xml:space="preserve">Le résultat obtenu est ensuite multiplié par </w:t>
      </w:r>
      <w:r w:rsidR="005407A7" w:rsidRPr="005407A7">
        <w:rPr>
          <w:rStyle w:val="normaltextrun"/>
          <w:rFonts w:asciiTheme="majorHAnsi" w:hAnsiTheme="majorHAnsi" w:cstheme="majorHAnsi"/>
        </w:rPr>
        <w:t>le CO2 moyen produit (en livres par kilowattheure) pour l'énergie consommée aux États-Unis (EPA, 2018)</w:t>
      </w:r>
      <w:r w:rsidR="005407A7">
        <w:rPr>
          <w:rStyle w:val="normaltextrun"/>
          <w:rFonts w:asciiTheme="majorHAnsi" w:hAnsiTheme="majorHAnsi" w:cstheme="majorHAnsi"/>
        </w:rPr>
        <w:t xml:space="preserve">. </w:t>
      </w:r>
      <w:r w:rsidR="005407A7" w:rsidRPr="005407A7">
        <w:rPr>
          <w:rStyle w:val="normaltextrun"/>
          <w:rFonts w:asciiTheme="majorHAnsi" w:hAnsiTheme="majorHAnsi" w:cstheme="majorHAnsi"/>
        </w:rPr>
        <w:t xml:space="preserve">D'après les auteurs comme la répartition de l'énergie aux États-Unis est comparable à celle du service cloud le </w:t>
      </w:r>
      <w:r w:rsidR="005407A7" w:rsidRPr="005407A7">
        <w:rPr>
          <w:rStyle w:val="normaltextrun"/>
          <w:rFonts w:asciiTheme="majorHAnsi" w:hAnsiTheme="majorHAnsi" w:cstheme="majorHAnsi"/>
        </w:rPr>
        <w:lastRenderedPageBreak/>
        <w:t>plus populaire, Amazon Web Services, cette conversion fournit une estimation raisonnable des émissions de CO2 par kilowattheure d'énergie de calcul utilisée.</w:t>
      </w:r>
    </w:p>
    <w:p w14:paraId="3C1EADB6" w14:textId="5866589E" w:rsidR="005407A7" w:rsidRDefault="005407A7" w:rsidP="005407A7">
      <w:pPr>
        <w:ind w:left="708" w:firstLine="348"/>
        <w:jc w:val="center"/>
        <w:rPr>
          <w:rStyle w:val="normaltextrun"/>
          <w:rFonts w:asciiTheme="majorHAnsi" w:hAnsiTheme="majorHAnsi" w:cstheme="majorHAnsi"/>
        </w:rPr>
      </w:pPr>
      <w:r>
        <w:rPr>
          <w:noProof/>
        </w:rPr>
        <w:drawing>
          <wp:inline distT="0" distB="0" distL="0" distR="0" wp14:anchorId="73038D74" wp14:editId="6A569173">
            <wp:extent cx="3514725" cy="1619250"/>
            <wp:effectExtent l="0" t="0" r="952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9"/>
                    <a:stretch>
                      <a:fillRect/>
                    </a:stretch>
                  </pic:blipFill>
                  <pic:spPr>
                    <a:xfrm>
                      <a:off x="0" y="0"/>
                      <a:ext cx="3514725" cy="1619250"/>
                    </a:xfrm>
                    <a:prstGeom prst="rect">
                      <a:avLst/>
                    </a:prstGeom>
                  </pic:spPr>
                </pic:pic>
              </a:graphicData>
            </a:graphic>
          </wp:inline>
        </w:drawing>
      </w:r>
    </w:p>
    <w:p w14:paraId="696282C2" w14:textId="77777777" w:rsidR="00ED3BC8" w:rsidRPr="00760A5B" w:rsidRDefault="00ED3BC8" w:rsidP="005407A7">
      <w:pPr>
        <w:ind w:left="708" w:firstLine="348"/>
        <w:jc w:val="center"/>
        <w:rPr>
          <w:rStyle w:val="normaltextrun"/>
          <w:rFonts w:asciiTheme="majorHAnsi" w:hAnsiTheme="majorHAnsi" w:cstheme="majorHAnsi"/>
        </w:rPr>
      </w:pPr>
    </w:p>
    <w:p w14:paraId="0A3402D4" w14:textId="5BB07C97" w:rsidR="00130B55" w:rsidRDefault="00130B55" w:rsidP="00130B55">
      <w:pPr>
        <w:rPr>
          <w:rStyle w:val="normaltextrun"/>
          <w:rFonts w:asciiTheme="majorHAnsi" w:hAnsiTheme="majorHAnsi" w:cstheme="majorHAnsi"/>
        </w:rPr>
      </w:pPr>
      <w:r>
        <w:rPr>
          <w:rStyle w:val="normaltextrun"/>
          <w:rFonts w:asciiTheme="majorHAnsi" w:hAnsiTheme="majorHAnsi" w:cstheme="majorHAnsi"/>
        </w:rPr>
        <w:t>Résultats :</w:t>
      </w:r>
    </w:p>
    <w:p w14:paraId="1CA884C0" w14:textId="32F120F7" w:rsidR="00ED3BC8" w:rsidRDefault="00ED3BC8" w:rsidP="00130B55">
      <w:pPr>
        <w:rPr>
          <w:rStyle w:val="normaltextrun"/>
          <w:rFonts w:asciiTheme="majorHAnsi" w:hAnsiTheme="majorHAnsi" w:cstheme="majorHAnsi"/>
        </w:rPr>
      </w:pPr>
      <w:r>
        <w:rPr>
          <w:rStyle w:val="normaltextrun"/>
          <w:rFonts w:asciiTheme="majorHAnsi" w:hAnsiTheme="majorHAnsi" w:cstheme="majorHAnsi"/>
        </w:rPr>
        <w:t>Comparaison des différents modèles :</w:t>
      </w:r>
    </w:p>
    <w:p w14:paraId="1919329F" w14:textId="496B3725" w:rsidR="001C465D" w:rsidRDefault="001C465D" w:rsidP="001C465D">
      <w:pPr>
        <w:rPr>
          <w:rStyle w:val="normaltextrun"/>
          <w:rFonts w:asciiTheme="majorHAnsi" w:hAnsiTheme="majorHAnsi" w:cstheme="majorHAnsi"/>
        </w:rPr>
      </w:pPr>
      <w:r>
        <w:rPr>
          <w:noProof/>
        </w:rPr>
        <w:drawing>
          <wp:inline distT="0" distB="0" distL="0" distR="0" wp14:anchorId="473C2FA9" wp14:editId="0FC9BD2E">
            <wp:extent cx="5760720" cy="1637665"/>
            <wp:effectExtent l="0" t="0" r="0" b="635"/>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stretch>
                      <a:fillRect/>
                    </a:stretch>
                  </pic:blipFill>
                  <pic:spPr>
                    <a:xfrm>
                      <a:off x="0" y="0"/>
                      <a:ext cx="5760720" cy="1637665"/>
                    </a:xfrm>
                    <a:prstGeom prst="rect">
                      <a:avLst/>
                    </a:prstGeom>
                  </pic:spPr>
                </pic:pic>
              </a:graphicData>
            </a:graphic>
          </wp:inline>
        </w:drawing>
      </w:r>
    </w:p>
    <w:p w14:paraId="2D12AEBB" w14:textId="678A7566" w:rsidR="00ED3BC8" w:rsidRDefault="00ED3BC8" w:rsidP="00ED3BC8">
      <w:pPr>
        <w:rPr>
          <w:rStyle w:val="normaltextrun"/>
          <w:rFonts w:asciiTheme="majorHAnsi" w:hAnsiTheme="majorHAnsi" w:cstheme="majorHAnsi"/>
        </w:rPr>
      </w:pPr>
      <w:r w:rsidRPr="00ED3BC8">
        <w:rPr>
          <w:rStyle w:val="normaltextrun"/>
          <w:rFonts w:asciiTheme="majorHAnsi" w:hAnsiTheme="majorHAnsi" w:cstheme="majorHAnsi"/>
        </w:rPr>
        <w:t xml:space="preserve">Les TPU sont plus rentables que les GPU pour les charges de travail, les modèles émettent des émissions de carbone substantielles ; l'entraînement de BERT sur GPU est à peu près équivalent à un vol transaméricain. So et al. (2019) rapportent que le NAS atteint améliore sa performance de traduction automatique de l'anglais vers l'allemand de seulement 0,1 BLEU mais avec un coût d'au moins 150 000 $ en temps de calcul à la demande et </w:t>
      </w:r>
      <w:r>
        <w:rPr>
          <w:rStyle w:val="normaltextrun"/>
          <w:rFonts w:asciiTheme="majorHAnsi" w:hAnsiTheme="majorHAnsi" w:cstheme="majorHAnsi"/>
        </w:rPr>
        <w:t xml:space="preserve">des </w:t>
      </w:r>
      <w:r w:rsidRPr="00ED3BC8">
        <w:rPr>
          <w:rStyle w:val="normaltextrun"/>
          <w:rFonts w:asciiTheme="majorHAnsi" w:hAnsiTheme="majorHAnsi" w:cstheme="majorHAnsi"/>
        </w:rPr>
        <w:t>émissions de carbone non négligeables.</w:t>
      </w:r>
    </w:p>
    <w:p w14:paraId="398498F7" w14:textId="2EED0C34" w:rsidR="00ED3BC8" w:rsidRDefault="00ED3BC8" w:rsidP="00130B55">
      <w:pPr>
        <w:rPr>
          <w:rStyle w:val="normaltextrun"/>
          <w:rFonts w:asciiTheme="majorHAnsi" w:hAnsiTheme="majorHAnsi" w:cstheme="majorHAnsi"/>
        </w:rPr>
      </w:pPr>
      <w:r>
        <w:rPr>
          <w:rStyle w:val="normaltextrun"/>
          <w:rFonts w:asciiTheme="majorHAnsi" w:hAnsiTheme="majorHAnsi" w:cstheme="majorHAnsi"/>
        </w:rPr>
        <w:t xml:space="preserve">Etude de cas : </w:t>
      </w:r>
    </w:p>
    <w:p w14:paraId="56FA03E0" w14:textId="3918FB79" w:rsidR="00ED3BC8" w:rsidRDefault="00ED3BC8" w:rsidP="00ED3BC8">
      <w:pPr>
        <w:jc w:val="center"/>
        <w:rPr>
          <w:rStyle w:val="normaltextrun"/>
          <w:rFonts w:asciiTheme="majorHAnsi" w:hAnsiTheme="majorHAnsi" w:cstheme="majorHAnsi"/>
        </w:rPr>
      </w:pPr>
      <w:r>
        <w:rPr>
          <w:noProof/>
        </w:rPr>
        <w:drawing>
          <wp:inline distT="0" distB="0" distL="0" distR="0" wp14:anchorId="40C4C9C4" wp14:editId="587D331A">
            <wp:extent cx="3838575" cy="1209675"/>
            <wp:effectExtent l="0" t="0" r="9525"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3838575" cy="1209675"/>
                    </a:xfrm>
                    <a:prstGeom prst="rect">
                      <a:avLst/>
                    </a:prstGeom>
                  </pic:spPr>
                </pic:pic>
              </a:graphicData>
            </a:graphic>
          </wp:inline>
        </w:drawing>
      </w:r>
    </w:p>
    <w:p w14:paraId="0E742A2A" w14:textId="349403E7" w:rsidR="001E0858" w:rsidRDefault="001E0858" w:rsidP="00ED3BC8">
      <w:pPr>
        <w:jc w:val="center"/>
        <w:rPr>
          <w:rStyle w:val="normaltextrun"/>
          <w:rFonts w:asciiTheme="majorHAnsi" w:hAnsiTheme="majorHAnsi" w:cstheme="majorHAnsi"/>
        </w:rPr>
      </w:pPr>
      <w:r w:rsidRPr="001E0858">
        <w:rPr>
          <w:rStyle w:val="normaltextrun"/>
          <w:rFonts w:asciiTheme="majorHAnsi" w:hAnsiTheme="majorHAnsi" w:cstheme="majorHAnsi"/>
        </w:rPr>
        <w:t xml:space="preserve">Coût estimé en termes de cloud </w:t>
      </w:r>
      <w:proofErr w:type="spellStart"/>
      <w:r w:rsidRPr="001E0858">
        <w:rPr>
          <w:rStyle w:val="normaltextrun"/>
          <w:rFonts w:asciiTheme="majorHAnsi" w:hAnsiTheme="majorHAnsi" w:cstheme="majorHAnsi"/>
        </w:rPr>
        <w:t>computing</w:t>
      </w:r>
      <w:proofErr w:type="spellEnd"/>
      <w:r w:rsidRPr="001E0858">
        <w:rPr>
          <w:rStyle w:val="normaltextrun"/>
          <w:rFonts w:asciiTheme="majorHAnsi" w:hAnsiTheme="majorHAnsi" w:cstheme="majorHAnsi"/>
        </w:rPr>
        <w:t xml:space="preserve"> et d'électricité pour la formation : d'un seul modèle, d’un seul tuning et de tous les modèles formés pendant la R&amp;D.</w:t>
      </w:r>
    </w:p>
    <w:p w14:paraId="7B92A153" w14:textId="77777777" w:rsidR="00381BC9" w:rsidRDefault="001E0858" w:rsidP="00130B55">
      <w:pPr>
        <w:rPr>
          <w:rStyle w:val="normaltextrun"/>
          <w:rFonts w:asciiTheme="majorHAnsi" w:hAnsiTheme="majorHAnsi" w:cstheme="majorHAnsi"/>
        </w:rPr>
      </w:pPr>
      <w:r>
        <w:rPr>
          <w:rStyle w:val="normaltextrun"/>
          <w:rFonts w:asciiTheme="majorHAnsi" w:hAnsiTheme="majorHAnsi" w:cstheme="majorHAnsi"/>
        </w:rPr>
        <w:t>L</w:t>
      </w:r>
      <w:r w:rsidRPr="001E0858">
        <w:rPr>
          <w:rStyle w:val="normaltextrun"/>
          <w:rFonts w:asciiTheme="majorHAnsi" w:hAnsiTheme="majorHAnsi" w:cstheme="majorHAnsi"/>
        </w:rPr>
        <w:t xml:space="preserve">'entraînement d'un seul modèle est relativement peu coûteux, </w:t>
      </w:r>
      <w:r>
        <w:rPr>
          <w:rStyle w:val="normaltextrun"/>
          <w:rFonts w:asciiTheme="majorHAnsi" w:hAnsiTheme="majorHAnsi" w:cstheme="majorHAnsi"/>
        </w:rPr>
        <w:t xml:space="preserve">cependant </w:t>
      </w:r>
      <w:r w:rsidRPr="001E0858">
        <w:rPr>
          <w:rStyle w:val="normaltextrun"/>
          <w:rFonts w:asciiTheme="majorHAnsi" w:hAnsiTheme="majorHAnsi" w:cstheme="majorHAnsi"/>
        </w:rPr>
        <w:t>le coût de la mise au point</w:t>
      </w:r>
      <w:r>
        <w:rPr>
          <w:rStyle w:val="normaltextrun"/>
          <w:rFonts w:asciiTheme="majorHAnsi" w:hAnsiTheme="majorHAnsi" w:cstheme="majorHAnsi"/>
        </w:rPr>
        <w:t xml:space="preserve"> (tuning)</w:t>
      </w:r>
      <w:r w:rsidRPr="001E0858">
        <w:rPr>
          <w:rStyle w:val="normaltextrun"/>
          <w:rFonts w:asciiTheme="majorHAnsi" w:hAnsiTheme="majorHAnsi" w:cstheme="majorHAnsi"/>
        </w:rPr>
        <w:t xml:space="preserve"> d'un modèle pour un nouvel ensemble de données, </w:t>
      </w:r>
      <w:r>
        <w:rPr>
          <w:rStyle w:val="normaltextrun"/>
          <w:rFonts w:asciiTheme="majorHAnsi" w:hAnsiTheme="majorHAnsi" w:cstheme="majorHAnsi"/>
        </w:rPr>
        <w:t xml:space="preserve">estimé par les auteurs </w:t>
      </w:r>
      <w:r w:rsidRPr="001E0858">
        <w:rPr>
          <w:rStyle w:val="normaltextrun"/>
          <w:rFonts w:asciiTheme="majorHAnsi" w:hAnsiTheme="majorHAnsi" w:cstheme="majorHAnsi"/>
        </w:rPr>
        <w:t>ici à 24 emplois, ou la réalisation de l'ensemble de la R&amp;D nécessaire pour développer ce modèle, devient rapidement extrêmement coûteux.</w:t>
      </w:r>
    </w:p>
    <w:p w14:paraId="083E949E" w14:textId="306DB3AC" w:rsidR="00DD5234" w:rsidRDefault="00130B55" w:rsidP="00130B55">
      <w:pPr>
        <w:rPr>
          <w:rStyle w:val="normaltextrun"/>
          <w:rFonts w:asciiTheme="majorHAnsi" w:hAnsiTheme="majorHAnsi" w:cstheme="majorHAnsi"/>
        </w:rPr>
      </w:pPr>
      <w:r>
        <w:rPr>
          <w:rStyle w:val="normaltextrun"/>
          <w:rFonts w:asciiTheme="majorHAnsi" w:hAnsiTheme="majorHAnsi" w:cstheme="majorHAnsi"/>
        </w:rPr>
        <w:lastRenderedPageBreak/>
        <w:t>C</w:t>
      </w:r>
      <w:r w:rsidRPr="00130B55">
        <w:rPr>
          <w:rStyle w:val="normaltextrun"/>
          <w:rFonts w:asciiTheme="majorHAnsi" w:hAnsiTheme="majorHAnsi" w:cstheme="majorHAnsi"/>
        </w:rPr>
        <w:t>ontribution personnelle :</w:t>
      </w:r>
    </w:p>
    <w:p w14:paraId="77BAA3A5" w14:textId="6657406D" w:rsidR="00DD5234" w:rsidRPr="00562113" w:rsidRDefault="00562113" w:rsidP="00562113">
      <w:pPr>
        <w:rPr>
          <w:rStyle w:val="normaltextrun"/>
          <w:rFonts w:asciiTheme="majorHAnsi" w:hAnsiTheme="majorHAnsi" w:cstheme="majorHAnsi"/>
        </w:rPr>
      </w:pPr>
      <w:r>
        <w:rPr>
          <w:rStyle w:val="normaltextrun"/>
          <w:rFonts w:asciiTheme="majorHAnsi" w:hAnsiTheme="majorHAnsi" w:cstheme="majorHAnsi"/>
        </w:rPr>
        <w:t xml:space="preserve">3 </w:t>
      </w:r>
      <w:r w:rsidRPr="00562113">
        <w:rPr>
          <w:rStyle w:val="normaltextrun"/>
          <w:rFonts w:asciiTheme="majorHAnsi" w:hAnsiTheme="majorHAnsi" w:cstheme="majorHAnsi"/>
        </w:rPr>
        <w:t>recommandations</w:t>
      </w:r>
      <w:r w:rsidR="00DD5234" w:rsidRPr="00562113">
        <w:rPr>
          <w:rStyle w:val="normaltextrun"/>
          <w:rFonts w:asciiTheme="majorHAnsi" w:hAnsiTheme="majorHAnsi" w:cstheme="majorHAnsi"/>
        </w:rPr>
        <w:t> :</w:t>
      </w:r>
    </w:p>
    <w:p w14:paraId="4D667A2F" w14:textId="77777777" w:rsidR="00562113" w:rsidRDefault="00DD5234" w:rsidP="00562113">
      <w:pPr>
        <w:pStyle w:val="Paragraphedeliste"/>
        <w:numPr>
          <w:ilvl w:val="0"/>
          <w:numId w:val="3"/>
        </w:numPr>
        <w:rPr>
          <w:rStyle w:val="normaltextrun"/>
          <w:rFonts w:asciiTheme="majorHAnsi" w:hAnsiTheme="majorHAnsi" w:cstheme="majorHAnsi"/>
        </w:rPr>
      </w:pPr>
      <w:r w:rsidRPr="00DD5234">
        <w:rPr>
          <w:rStyle w:val="normaltextrun"/>
          <w:rFonts w:asciiTheme="majorHAnsi" w:hAnsiTheme="majorHAnsi" w:cstheme="majorHAnsi"/>
        </w:rPr>
        <w:t>Les auteurs doivent indiquer et partager le temps de formation et sensibilité aux</w:t>
      </w:r>
      <w:r>
        <w:rPr>
          <w:rStyle w:val="normaltextrun"/>
          <w:rFonts w:asciiTheme="majorHAnsi" w:hAnsiTheme="majorHAnsi" w:cstheme="majorHAnsi"/>
        </w:rPr>
        <w:t xml:space="preserve"> </w:t>
      </w:r>
      <w:r w:rsidRPr="00DD5234">
        <w:rPr>
          <w:rStyle w:val="normaltextrun"/>
          <w:rFonts w:asciiTheme="majorHAnsi" w:hAnsiTheme="majorHAnsi" w:cstheme="majorHAnsi"/>
        </w:rPr>
        <w:t>hyperparamètres</w:t>
      </w:r>
      <w:r w:rsidR="00562113">
        <w:rPr>
          <w:rStyle w:val="normaltextrun"/>
          <w:rFonts w:asciiTheme="majorHAnsi" w:hAnsiTheme="majorHAnsi" w:cstheme="majorHAnsi"/>
        </w:rPr>
        <w:t> :</w:t>
      </w:r>
    </w:p>
    <w:p w14:paraId="66B9098D" w14:textId="7EA22465" w:rsidR="00562113" w:rsidRPr="00562113" w:rsidRDefault="00562113" w:rsidP="00562113">
      <w:pPr>
        <w:pStyle w:val="Paragraphedeliste"/>
        <w:rPr>
          <w:rStyle w:val="normaltextrun"/>
          <w:rFonts w:asciiTheme="majorHAnsi" w:hAnsiTheme="majorHAnsi" w:cstheme="majorHAnsi"/>
        </w:rPr>
      </w:pPr>
      <w:r w:rsidRPr="00562113">
        <w:rPr>
          <w:rStyle w:val="normaltextrun"/>
          <w:rFonts w:asciiTheme="majorHAnsi" w:hAnsiTheme="majorHAnsi" w:cstheme="majorHAnsi"/>
        </w:rPr>
        <w:t>Permet</w:t>
      </w:r>
      <w:r>
        <w:rPr>
          <w:rStyle w:val="normaltextrun"/>
          <w:rFonts w:asciiTheme="majorHAnsi" w:hAnsiTheme="majorHAnsi" w:cstheme="majorHAnsi"/>
        </w:rPr>
        <w:t>tre</w:t>
      </w:r>
      <w:r w:rsidRPr="00562113">
        <w:rPr>
          <w:rStyle w:val="normaltextrun"/>
          <w:rFonts w:asciiTheme="majorHAnsi" w:hAnsiTheme="majorHAnsi" w:cstheme="majorHAnsi"/>
        </w:rPr>
        <w:t xml:space="preserve"> de comparer directement différents modèles afin de réaliser une analyse coûts-avantages (précision).</w:t>
      </w:r>
    </w:p>
    <w:p w14:paraId="536D0431" w14:textId="2A645E01" w:rsidR="00DD5234" w:rsidRDefault="00DD5234" w:rsidP="00DD5234">
      <w:pPr>
        <w:pStyle w:val="Paragraphedeliste"/>
        <w:numPr>
          <w:ilvl w:val="0"/>
          <w:numId w:val="3"/>
        </w:numPr>
        <w:rPr>
          <w:rStyle w:val="normaltextrun"/>
          <w:rFonts w:asciiTheme="majorHAnsi" w:hAnsiTheme="majorHAnsi" w:cstheme="majorHAnsi"/>
        </w:rPr>
      </w:pPr>
      <w:r w:rsidRPr="00DD5234">
        <w:rPr>
          <w:rStyle w:val="normaltextrun"/>
          <w:rFonts w:asciiTheme="majorHAnsi" w:hAnsiTheme="majorHAnsi" w:cstheme="majorHAnsi"/>
        </w:rPr>
        <w:t>Les chercheurs universitaires ont besoin d'un accès équitable aux</w:t>
      </w:r>
      <w:r>
        <w:rPr>
          <w:rStyle w:val="normaltextrun"/>
          <w:rFonts w:asciiTheme="majorHAnsi" w:hAnsiTheme="majorHAnsi" w:cstheme="majorHAnsi"/>
        </w:rPr>
        <w:t xml:space="preserve"> </w:t>
      </w:r>
      <w:r w:rsidRPr="00DD5234">
        <w:rPr>
          <w:rStyle w:val="normaltextrun"/>
          <w:rFonts w:asciiTheme="majorHAnsi" w:hAnsiTheme="majorHAnsi" w:cstheme="majorHAnsi"/>
        </w:rPr>
        <w:t>ressources informatiques</w:t>
      </w:r>
      <w:r w:rsidR="00C835D8">
        <w:rPr>
          <w:rStyle w:val="normaltextrun"/>
          <w:rFonts w:asciiTheme="majorHAnsi" w:hAnsiTheme="majorHAnsi" w:cstheme="majorHAnsi"/>
        </w:rPr>
        <w:t xml:space="preserve"> : </w:t>
      </w:r>
      <w:r w:rsidR="00C835D8" w:rsidRPr="00C835D8">
        <w:rPr>
          <w:rStyle w:val="normaltextrun"/>
          <w:rFonts w:asciiTheme="majorHAnsi" w:hAnsiTheme="majorHAnsi" w:cstheme="majorHAnsi"/>
        </w:rPr>
        <w:t>empêcher le monopole des grands groupes sur les algorithmes complexes pour permettre à plus de chercheurs d’étudier ces algorithmes et limiter la pollution de réentraîner des algorithmes simples ;</w:t>
      </w:r>
    </w:p>
    <w:p w14:paraId="76345768" w14:textId="63CFA7A7" w:rsidR="00DD5234" w:rsidRDefault="00DD5234" w:rsidP="00DD5234">
      <w:pPr>
        <w:pStyle w:val="Paragraphedeliste"/>
        <w:numPr>
          <w:ilvl w:val="0"/>
          <w:numId w:val="3"/>
        </w:numPr>
        <w:rPr>
          <w:rStyle w:val="normaltextrun"/>
          <w:rFonts w:asciiTheme="majorHAnsi" w:hAnsiTheme="majorHAnsi" w:cstheme="majorHAnsi"/>
        </w:rPr>
      </w:pPr>
      <w:r w:rsidRPr="00DD5234">
        <w:rPr>
          <w:rStyle w:val="normaltextrun"/>
          <w:rFonts w:asciiTheme="majorHAnsi" w:hAnsiTheme="majorHAnsi" w:cstheme="majorHAnsi"/>
        </w:rPr>
        <w:t xml:space="preserve">Les chercheurs doivent privilégier </w:t>
      </w:r>
      <w:r w:rsidR="00381BC9" w:rsidRPr="00DD5234">
        <w:rPr>
          <w:rStyle w:val="normaltextrun"/>
          <w:rFonts w:asciiTheme="majorHAnsi" w:hAnsiTheme="majorHAnsi" w:cstheme="majorHAnsi"/>
        </w:rPr>
        <w:t xml:space="preserve">les </w:t>
      </w:r>
      <w:r w:rsidR="00381BC9">
        <w:rPr>
          <w:rStyle w:val="normaltextrun"/>
          <w:rFonts w:asciiTheme="majorHAnsi" w:hAnsiTheme="majorHAnsi" w:cstheme="majorHAnsi"/>
        </w:rPr>
        <w:t>hardwares</w:t>
      </w:r>
      <w:r w:rsidRPr="00DD5234">
        <w:rPr>
          <w:rStyle w:val="normaltextrun"/>
          <w:rFonts w:asciiTheme="majorHAnsi" w:hAnsiTheme="majorHAnsi" w:cstheme="majorHAnsi"/>
        </w:rPr>
        <w:t xml:space="preserve"> et les algorithmes efficaces </w:t>
      </w:r>
      <w:r w:rsidR="00381BC9" w:rsidRPr="00DD5234">
        <w:rPr>
          <w:rStyle w:val="normaltextrun"/>
          <w:rFonts w:asciiTheme="majorHAnsi" w:hAnsiTheme="majorHAnsi" w:cstheme="majorHAnsi"/>
        </w:rPr>
        <w:t>en termes</w:t>
      </w:r>
      <w:r w:rsidRPr="00DD5234">
        <w:rPr>
          <w:rStyle w:val="normaltextrun"/>
          <w:rFonts w:asciiTheme="majorHAnsi" w:hAnsiTheme="majorHAnsi" w:cstheme="majorHAnsi"/>
        </w:rPr>
        <w:t xml:space="preserve"> de calcul</w:t>
      </w:r>
      <w:r w:rsidR="00C835D8">
        <w:rPr>
          <w:rStyle w:val="normaltextrun"/>
          <w:rFonts w:asciiTheme="majorHAnsi" w:hAnsiTheme="majorHAnsi" w:cstheme="majorHAnsi"/>
        </w:rPr>
        <w:t> :</w:t>
      </w:r>
    </w:p>
    <w:p w14:paraId="305FA91B" w14:textId="1D8F9560" w:rsidR="00C835D8" w:rsidRPr="00DD5234" w:rsidRDefault="00562113" w:rsidP="00C835D8">
      <w:pPr>
        <w:pStyle w:val="Paragraphedeliste"/>
        <w:rPr>
          <w:rStyle w:val="normaltextrun"/>
          <w:rFonts w:asciiTheme="majorHAnsi" w:hAnsiTheme="majorHAnsi" w:cstheme="majorHAnsi"/>
        </w:rPr>
      </w:pPr>
      <w:r w:rsidRPr="00C835D8">
        <w:rPr>
          <w:rFonts w:asciiTheme="majorHAnsi" w:hAnsiTheme="majorHAnsi" w:cstheme="majorHAnsi"/>
        </w:rPr>
        <w:t>Développer</w:t>
      </w:r>
      <w:r w:rsidR="00C835D8" w:rsidRPr="00C835D8">
        <w:rPr>
          <w:rFonts w:asciiTheme="majorHAnsi" w:hAnsiTheme="majorHAnsi" w:cstheme="majorHAnsi"/>
        </w:rPr>
        <w:t xml:space="preserve"> un algorithme capable de résoudre plusieurs problèmes, plutôt que d’implémenter un algorithme en réponse à chaque problème.</w:t>
      </w:r>
    </w:p>
    <w:p w14:paraId="60F47CA1" w14:textId="77777777" w:rsidR="00DD5234" w:rsidRDefault="00DD5234" w:rsidP="00130B55">
      <w:pPr>
        <w:rPr>
          <w:rStyle w:val="normaltextrun"/>
          <w:rFonts w:asciiTheme="majorHAnsi" w:hAnsiTheme="majorHAnsi" w:cstheme="majorHAnsi"/>
        </w:rPr>
      </w:pPr>
    </w:p>
    <w:p w14:paraId="31CFA67A" w14:textId="5C496F45" w:rsidR="00130B55" w:rsidRDefault="00130B55" w:rsidP="00130B55">
      <w:pPr>
        <w:rPr>
          <w:rStyle w:val="normaltextrun"/>
          <w:rFonts w:asciiTheme="majorHAnsi" w:hAnsiTheme="majorHAnsi" w:cstheme="majorHAnsi"/>
        </w:rPr>
      </w:pPr>
      <w:r w:rsidRPr="00130B55">
        <w:rPr>
          <w:rStyle w:val="normaltextrun"/>
          <w:rFonts w:asciiTheme="majorHAnsi" w:hAnsiTheme="majorHAnsi" w:cstheme="majorHAnsi"/>
        </w:rPr>
        <w:t>L'impact des résultats :</w:t>
      </w:r>
    </w:p>
    <w:p w14:paraId="63E6B00A" w14:textId="06327230" w:rsidR="00130B55" w:rsidRDefault="00130B55" w:rsidP="00130B55">
      <w:pPr>
        <w:rPr>
          <w:rStyle w:val="normaltextrun"/>
        </w:rPr>
      </w:pPr>
      <w:r w:rsidRPr="001220EE">
        <w:rPr>
          <w:rStyle w:val="normaltextrun"/>
          <w:rFonts w:asciiTheme="majorHAnsi" w:hAnsiTheme="majorHAnsi" w:cstheme="majorHAnsi"/>
        </w:rPr>
        <w:t>Critique personnelle</w:t>
      </w:r>
      <w:r w:rsidRPr="00130B55">
        <w:rPr>
          <w:rStyle w:val="normaltextrun"/>
        </w:rPr>
        <w:t xml:space="preserve"> : </w:t>
      </w:r>
    </w:p>
    <w:p w14:paraId="58534313" w14:textId="67E28449" w:rsidR="00130B55" w:rsidRPr="00F74477" w:rsidRDefault="00130B55" w:rsidP="00130B55">
      <w:pPr>
        <w:rPr>
          <w:rStyle w:val="normaltextrun"/>
          <w:rFonts w:asciiTheme="majorHAnsi" w:hAnsiTheme="majorHAnsi" w:cstheme="majorHAnsi"/>
        </w:rPr>
      </w:pPr>
      <w:r w:rsidRPr="00F74477">
        <w:rPr>
          <w:rStyle w:val="normaltextrun"/>
          <w:rFonts w:asciiTheme="majorHAnsi" w:hAnsiTheme="majorHAnsi" w:cstheme="majorHAnsi"/>
        </w:rPr>
        <w:t>Axe d’amélioration :</w:t>
      </w:r>
    </w:p>
    <w:p w14:paraId="77F9D5BC" w14:textId="522BA336" w:rsidR="00130B55" w:rsidRPr="00130B55" w:rsidRDefault="00130B55" w:rsidP="00130B55">
      <w:pPr>
        <w:rPr>
          <w:rStyle w:val="normaltextrun"/>
          <w:rFonts w:asciiTheme="majorHAnsi" w:hAnsiTheme="majorHAnsi" w:cstheme="majorHAnsi"/>
        </w:rPr>
      </w:pPr>
      <w:r w:rsidRPr="00F74477">
        <w:rPr>
          <w:rStyle w:val="normaltextrun"/>
          <w:rFonts w:asciiTheme="majorHAnsi" w:hAnsiTheme="majorHAnsi" w:cstheme="majorHAnsi"/>
        </w:rPr>
        <w:t>Implémentation :</w:t>
      </w:r>
    </w:p>
    <w:p w14:paraId="196E2810" w14:textId="3E91D696" w:rsidR="00130B55" w:rsidRDefault="00130B55" w:rsidP="00130B55">
      <w:pPr>
        <w:rPr>
          <w:rFonts w:asciiTheme="majorHAnsi" w:hAnsiTheme="majorHAnsi" w:cstheme="majorHAnsi"/>
          <w:sz w:val="24"/>
          <w:szCs w:val="24"/>
        </w:rPr>
      </w:pPr>
    </w:p>
    <w:p w14:paraId="7BE2055E" w14:textId="28F4CEED" w:rsidR="00381BC9" w:rsidRDefault="00381BC9" w:rsidP="00130B55">
      <w:pPr>
        <w:rPr>
          <w:rFonts w:asciiTheme="majorHAnsi" w:hAnsiTheme="majorHAnsi" w:cstheme="majorHAnsi"/>
          <w:sz w:val="24"/>
          <w:szCs w:val="24"/>
        </w:rPr>
      </w:pPr>
    </w:p>
    <w:p w14:paraId="52B3239A" w14:textId="3D69AC0E" w:rsidR="00381BC9" w:rsidRDefault="00381BC9" w:rsidP="00130B55">
      <w:pPr>
        <w:rPr>
          <w:rFonts w:asciiTheme="majorHAnsi" w:hAnsiTheme="majorHAnsi" w:cstheme="majorHAnsi"/>
          <w:sz w:val="24"/>
          <w:szCs w:val="24"/>
        </w:rPr>
      </w:pPr>
    </w:p>
    <w:p w14:paraId="19FA5826" w14:textId="34147316" w:rsidR="00381BC9" w:rsidRDefault="00381BC9" w:rsidP="00130B55">
      <w:pPr>
        <w:rPr>
          <w:rFonts w:asciiTheme="majorHAnsi" w:hAnsiTheme="majorHAnsi" w:cstheme="majorHAnsi"/>
          <w:sz w:val="24"/>
          <w:szCs w:val="24"/>
        </w:rPr>
      </w:pPr>
    </w:p>
    <w:p w14:paraId="0F8FDF33" w14:textId="1D725097" w:rsidR="00381BC9" w:rsidRDefault="00381BC9" w:rsidP="00130B55">
      <w:pPr>
        <w:rPr>
          <w:rFonts w:asciiTheme="majorHAnsi" w:hAnsiTheme="majorHAnsi" w:cstheme="majorHAnsi"/>
          <w:sz w:val="24"/>
          <w:szCs w:val="24"/>
        </w:rPr>
      </w:pPr>
    </w:p>
    <w:p w14:paraId="64280E4F" w14:textId="28623CD3" w:rsidR="00381BC9" w:rsidRDefault="00381BC9" w:rsidP="00130B55">
      <w:pPr>
        <w:rPr>
          <w:rFonts w:asciiTheme="majorHAnsi" w:hAnsiTheme="majorHAnsi" w:cstheme="majorHAnsi"/>
          <w:sz w:val="24"/>
          <w:szCs w:val="24"/>
        </w:rPr>
      </w:pPr>
    </w:p>
    <w:p w14:paraId="5BC41FED" w14:textId="77777777" w:rsidR="00562113" w:rsidRDefault="00562113" w:rsidP="00130B55">
      <w:pPr>
        <w:rPr>
          <w:rFonts w:asciiTheme="majorHAnsi" w:hAnsiTheme="majorHAnsi" w:cstheme="majorHAnsi"/>
          <w:sz w:val="24"/>
          <w:szCs w:val="24"/>
        </w:rPr>
      </w:pPr>
    </w:p>
    <w:p w14:paraId="49357D70" w14:textId="241A0456" w:rsidR="00381BC9" w:rsidRDefault="00381BC9" w:rsidP="00130B55">
      <w:pPr>
        <w:rPr>
          <w:rFonts w:asciiTheme="majorHAnsi" w:hAnsiTheme="majorHAnsi" w:cstheme="majorHAnsi"/>
          <w:sz w:val="24"/>
          <w:szCs w:val="24"/>
        </w:rPr>
      </w:pPr>
    </w:p>
    <w:p w14:paraId="15251822" w14:textId="4B1B8F5E" w:rsidR="00381BC9" w:rsidRDefault="00381BC9" w:rsidP="00130B55">
      <w:pPr>
        <w:rPr>
          <w:rFonts w:asciiTheme="majorHAnsi" w:hAnsiTheme="majorHAnsi" w:cstheme="majorHAnsi"/>
          <w:sz w:val="24"/>
          <w:szCs w:val="24"/>
        </w:rPr>
      </w:pPr>
    </w:p>
    <w:p w14:paraId="7B57D9C5" w14:textId="2B0F88BD" w:rsidR="00381BC9" w:rsidRDefault="00381BC9" w:rsidP="00130B55">
      <w:pPr>
        <w:rPr>
          <w:rFonts w:asciiTheme="majorHAnsi" w:hAnsiTheme="majorHAnsi" w:cstheme="majorHAnsi"/>
          <w:sz w:val="24"/>
          <w:szCs w:val="24"/>
        </w:rPr>
      </w:pPr>
    </w:p>
    <w:p w14:paraId="0DFD71BC" w14:textId="4F01002E" w:rsidR="00381BC9" w:rsidRDefault="00381BC9" w:rsidP="00130B55">
      <w:pPr>
        <w:rPr>
          <w:rFonts w:asciiTheme="majorHAnsi" w:hAnsiTheme="majorHAnsi" w:cstheme="majorHAnsi"/>
          <w:sz w:val="24"/>
          <w:szCs w:val="24"/>
        </w:rPr>
      </w:pPr>
    </w:p>
    <w:p w14:paraId="7470B81A" w14:textId="77777777" w:rsidR="00381BC9" w:rsidRDefault="00381BC9" w:rsidP="00130B55">
      <w:pPr>
        <w:rPr>
          <w:rFonts w:asciiTheme="majorHAnsi" w:hAnsiTheme="majorHAnsi" w:cstheme="majorHAnsi"/>
          <w:sz w:val="24"/>
          <w:szCs w:val="24"/>
        </w:rPr>
      </w:pPr>
    </w:p>
    <w:p w14:paraId="6058AE0A" w14:textId="4519A98C" w:rsidR="00381BC9" w:rsidRDefault="00381BC9" w:rsidP="00130B55">
      <w:pPr>
        <w:rPr>
          <w:rFonts w:asciiTheme="majorHAnsi" w:hAnsiTheme="majorHAnsi" w:cstheme="majorHAnsi"/>
          <w:sz w:val="24"/>
          <w:szCs w:val="24"/>
        </w:rPr>
      </w:pPr>
    </w:p>
    <w:p w14:paraId="048A39A1" w14:textId="2256A552" w:rsidR="00381BC9" w:rsidRPr="00402868" w:rsidRDefault="00994572" w:rsidP="00381BC9">
      <w:pPr>
        <w:jc w:val="center"/>
        <w:rPr>
          <w:rFonts w:asciiTheme="majorHAnsi" w:hAnsiTheme="majorHAnsi" w:cstheme="majorHAnsi"/>
          <w:sz w:val="56"/>
          <w:szCs w:val="56"/>
        </w:rPr>
      </w:pPr>
      <w:proofErr w:type="spellStart"/>
      <w:r w:rsidRPr="00402868">
        <w:rPr>
          <w:rFonts w:asciiTheme="majorHAnsi" w:hAnsiTheme="majorHAnsi" w:cstheme="majorHAnsi"/>
          <w:sz w:val="56"/>
          <w:szCs w:val="56"/>
        </w:rPr>
        <w:lastRenderedPageBreak/>
        <w:t>Quantifying</w:t>
      </w:r>
      <w:proofErr w:type="spellEnd"/>
      <w:r w:rsidRPr="00402868">
        <w:rPr>
          <w:rFonts w:asciiTheme="majorHAnsi" w:hAnsiTheme="majorHAnsi" w:cstheme="majorHAnsi"/>
          <w:sz w:val="56"/>
          <w:szCs w:val="56"/>
        </w:rPr>
        <w:t xml:space="preserve"> the Carbon Emissions of Machine Learning </w:t>
      </w:r>
    </w:p>
    <w:p w14:paraId="0D6744F0" w14:textId="77777777" w:rsidR="00381BC9" w:rsidRPr="00402868" w:rsidRDefault="00381BC9" w:rsidP="00381BC9">
      <w:pPr>
        <w:jc w:val="center"/>
        <w:rPr>
          <w:rFonts w:asciiTheme="majorHAnsi" w:hAnsiTheme="majorHAnsi" w:cstheme="majorHAnsi"/>
          <w:sz w:val="24"/>
          <w:szCs w:val="24"/>
        </w:rPr>
      </w:pPr>
    </w:p>
    <w:p w14:paraId="38820B0F" w14:textId="7E87F02B" w:rsidR="00381BC9" w:rsidRDefault="00381BC9" w:rsidP="00381BC9">
      <w:pPr>
        <w:rPr>
          <w:rStyle w:val="normaltextrun"/>
          <w:rFonts w:asciiTheme="majorHAnsi" w:hAnsiTheme="majorHAnsi" w:cstheme="majorHAnsi"/>
        </w:rPr>
      </w:pPr>
      <w:r w:rsidRPr="001220EE">
        <w:rPr>
          <w:rStyle w:val="normaltextrun"/>
          <w:rFonts w:asciiTheme="majorHAnsi" w:hAnsiTheme="majorHAnsi" w:cstheme="majorHAnsi"/>
        </w:rPr>
        <w:t>La problématique :</w:t>
      </w:r>
      <w:r>
        <w:rPr>
          <w:rStyle w:val="normaltextrun"/>
          <w:rFonts w:asciiTheme="majorHAnsi" w:hAnsiTheme="majorHAnsi" w:cstheme="majorHAnsi"/>
        </w:rPr>
        <w:t xml:space="preserve"> </w:t>
      </w:r>
    </w:p>
    <w:p w14:paraId="4015A0B3" w14:textId="3656FC0E" w:rsidR="0052102F" w:rsidRDefault="0052102F" w:rsidP="0052102F">
      <w:pPr>
        <w:rPr>
          <w:rStyle w:val="normaltextrun"/>
          <w:rFonts w:asciiTheme="majorHAnsi" w:hAnsiTheme="majorHAnsi" w:cstheme="majorHAnsi"/>
        </w:rPr>
      </w:pPr>
      <w:r w:rsidRPr="0052102F">
        <w:rPr>
          <w:rStyle w:val="normaltextrun"/>
          <w:rFonts w:asciiTheme="majorHAnsi" w:hAnsiTheme="majorHAnsi" w:cstheme="majorHAnsi"/>
        </w:rPr>
        <w:t>Comment quantifier les émissions de carbone</w:t>
      </w:r>
      <w:r>
        <w:rPr>
          <w:rStyle w:val="normaltextrun"/>
          <w:rFonts w:asciiTheme="majorHAnsi" w:hAnsiTheme="majorHAnsi" w:cstheme="majorHAnsi"/>
        </w:rPr>
        <w:t xml:space="preserve"> </w:t>
      </w:r>
      <w:r w:rsidRPr="0052102F">
        <w:rPr>
          <w:rStyle w:val="normaltextrun"/>
          <w:rFonts w:asciiTheme="majorHAnsi" w:hAnsiTheme="majorHAnsi" w:cstheme="majorHAnsi"/>
        </w:rPr>
        <w:t>de l'apprentissage automatique</w:t>
      </w:r>
      <w:r>
        <w:rPr>
          <w:rStyle w:val="normaltextrun"/>
          <w:rFonts w:asciiTheme="majorHAnsi" w:hAnsiTheme="majorHAnsi" w:cstheme="majorHAnsi"/>
        </w:rPr>
        <w:t> ?</w:t>
      </w:r>
    </w:p>
    <w:p w14:paraId="42107C9A" w14:textId="566F226C" w:rsidR="00E541E4" w:rsidRDefault="00E541E4" w:rsidP="0052102F">
      <w:pPr>
        <w:rPr>
          <w:rStyle w:val="normaltextrun"/>
          <w:rFonts w:asciiTheme="majorHAnsi" w:hAnsiTheme="majorHAnsi" w:cstheme="majorHAnsi"/>
        </w:rPr>
      </w:pPr>
      <w:r>
        <w:rPr>
          <w:rStyle w:val="normaltextrun"/>
          <w:rFonts w:asciiTheme="majorHAnsi" w:hAnsiTheme="majorHAnsi" w:cstheme="majorHAnsi"/>
        </w:rPr>
        <w:t>Et développement d’un outil appelé le « </w:t>
      </w:r>
      <w:r w:rsidRPr="00E541E4">
        <w:rPr>
          <w:rStyle w:val="normaltextrun"/>
          <w:rFonts w:asciiTheme="majorHAnsi" w:hAnsiTheme="majorHAnsi" w:cstheme="majorHAnsi"/>
        </w:rPr>
        <w:t xml:space="preserve">Machine Learning Emissions </w:t>
      </w:r>
      <w:proofErr w:type="spellStart"/>
      <w:r w:rsidRPr="00E541E4">
        <w:rPr>
          <w:rStyle w:val="normaltextrun"/>
          <w:rFonts w:asciiTheme="majorHAnsi" w:hAnsiTheme="majorHAnsi" w:cstheme="majorHAnsi"/>
        </w:rPr>
        <w:t>Calculator</w:t>
      </w:r>
      <w:proofErr w:type="spellEnd"/>
      <w:r w:rsidRPr="00E541E4">
        <w:rPr>
          <w:rStyle w:val="normaltextrun"/>
          <w:rFonts w:asciiTheme="majorHAnsi" w:hAnsiTheme="majorHAnsi" w:cstheme="majorHAnsi"/>
        </w:rPr>
        <w:t> »</w:t>
      </w:r>
    </w:p>
    <w:p w14:paraId="515D94B3" w14:textId="6428E30B" w:rsidR="0051757F" w:rsidRDefault="00381BC9" w:rsidP="00381BC9">
      <w:pPr>
        <w:rPr>
          <w:rStyle w:val="normaltextrun"/>
          <w:rFonts w:asciiTheme="majorHAnsi" w:hAnsiTheme="majorHAnsi" w:cstheme="majorHAnsi"/>
        </w:rPr>
      </w:pPr>
      <w:r w:rsidRPr="001220EE">
        <w:rPr>
          <w:rStyle w:val="normaltextrun"/>
          <w:rFonts w:asciiTheme="majorHAnsi" w:hAnsiTheme="majorHAnsi" w:cstheme="majorHAnsi"/>
        </w:rPr>
        <w:t>La méthode :</w:t>
      </w:r>
    </w:p>
    <w:p w14:paraId="49D89B50" w14:textId="77777777" w:rsidR="00722531" w:rsidRPr="00722531" w:rsidRDefault="00722531" w:rsidP="00E541E4">
      <w:pPr>
        <w:pStyle w:val="Paragraphedeliste"/>
        <w:numPr>
          <w:ilvl w:val="0"/>
          <w:numId w:val="3"/>
        </w:numPr>
        <w:rPr>
          <w:rStyle w:val="normaltextrun"/>
        </w:rPr>
      </w:pPr>
      <w:r w:rsidRPr="00722531">
        <w:rPr>
          <w:rStyle w:val="normaltextrun"/>
          <w:rFonts w:asciiTheme="majorHAnsi" w:hAnsiTheme="majorHAnsi" w:cstheme="majorHAnsi"/>
        </w:rPr>
        <w:t>L’outil proposé par les auteurs prend en entrée plusieurs détails concernant l'entraînement du modèle de Machine Learning qui sont les suivants : le cloud utilisé, la zone géographique du serveur, le type de GPU utilisé ainsi que le temps d'entraînement de l'algorithmes. Après avoir analysé tous ces facteurs, l'outil donne en sortie la quantité approximative de CO2eq produite. Pour ces 4 variables, les chercheurs ont utilisé des données publiquement disponibles.  </w:t>
      </w:r>
    </w:p>
    <w:p w14:paraId="5E970B48" w14:textId="77777777" w:rsidR="00722531" w:rsidRDefault="00722531" w:rsidP="00722531">
      <w:pPr>
        <w:pStyle w:val="Paragraphedeliste"/>
        <w:numPr>
          <w:ilvl w:val="0"/>
          <w:numId w:val="3"/>
        </w:numPr>
        <w:rPr>
          <w:rStyle w:val="normaltextrun"/>
          <w:rFonts w:asciiTheme="majorHAnsi" w:hAnsiTheme="majorHAnsi" w:cstheme="majorHAnsi"/>
        </w:rPr>
      </w:pPr>
      <w:r>
        <w:rPr>
          <w:rStyle w:val="normaltextrun"/>
          <w:rFonts w:asciiTheme="majorHAnsi" w:hAnsiTheme="majorHAnsi" w:cstheme="majorHAnsi"/>
        </w:rPr>
        <w:t>Afin de</w:t>
      </w:r>
      <w:r w:rsidR="00E541E4" w:rsidRPr="00E541E4">
        <w:rPr>
          <w:rStyle w:val="normaltextrun"/>
          <w:rFonts w:asciiTheme="majorHAnsi" w:hAnsiTheme="majorHAnsi" w:cstheme="majorHAnsi"/>
        </w:rPr>
        <w:t xml:space="preserve"> faire une estimation de la quantité de CO2eq émis par les serveurs cloud selon leur localisation</w:t>
      </w:r>
      <w:r w:rsidR="000A6606">
        <w:rPr>
          <w:rStyle w:val="normaltextrun"/>
          <w:rFonts w:asciiTheme="majorHAnsi" w:hAnsiTheme="majorHAnsi" w:cstheme="majorHAnsi"/>
        </w:rPr>
        <w:t xml:space="preserve">. </w:t>
      </w:r>
      <w:r>
        <w:rPr>
          <w:rStyle w:val="normaltextrun"/>
          <w:rFonts w:asciiTheme="majorHAnsi" w:hAnsiTheme="majorHAnsi" w:cstheme="majorHAnsi"/>
        </w:rPr>
        <w:t>Les auteurs</w:t>
      </w:r>
      <w:r w:rsidR="000A6606" w:rsidRPr="000A6606">
        <w:rPr>
          <w:rStyle w:val="normaltextrun"/>
          <w:rFonts w:asciiTheme="majorHAnsi" w:hAnsiTheme="majorHAnsi" w:cstheme="majorHAnsi"/>
        </w:rPr>
        <w:t xml:space="preserve"> supposent que tous les serveurs sont connectés aux réseaux locaux à leur emplacement physique. Ainsi, des données concernant les émissions de CO2eq de différents emplacements de réseau </w:t>
      </w:r>
      <w:r>
        <w:rPr>
          <w:rStyle w:val="normaltextrun"/>
          <w:rFonts w:asciiTheme="majorHAnsi" w:hAnsiTheme="majorHAnsi" w:cstheme="majorHAnsi"/>
        </w:rPr>
        <w:t xml:space="preserve">ont été rassemblées </w:t>
      </w:r>
      <w:r w:rsidR="000A6606" w:rsidRPr="000A6606">
        <w:rPr>
          <w:rStyle w:val="normaltextrun"/>
          <w:rFonts w:asciiTheme="majorHAnsi" w:hAnsiTheme="majorHAnsi" w:cstheme="majorHAnsi"/>
        </w:rPr>
        <w:t>et croisées avec les emplacements connus des serveurs GPU des trois principaux fournisseurs de cloud : Google Cloud Platform, Microsoft Azure et Amazon Web Services.</w:t>
      </w:r>
    </w:p>
    <w:p w14:paraId="3FB22104" w14:textId="3EB51629" w:rsidR="00381BC9" w:rsidRDefault="00381BC9" w:rsidP="00722531">
      <w:pPr>
        <w:rPr>
          <w:rStyle w:val="normaltextrun"/>
          <w:rFonts w:asciiTheme="majorHAnsi" w:hAnsiTheme="majorHAnsi" w:cstheme="majorHAnsi"/>
        </w:rPr>
      </w:pPr>
      <w:r w:rsidRPr="00722531">
        <w:rPr>
          <w:rStyle w:val="normaltextrun"/>
          <w:rFonts w:asciiTheme="majorHAnsi" w:hAnsiTheme="majorHAnsi" w:cstheme="majorHAnsi"/>
        </w:rPr>
        <w:t>Résultats :</w:t>
      </w:r>
    </w:p>
    <w:p w14:paraId="3B80BCCB" w14:textId="273AC27A" w:rsidR="00722531" w:rsidRDefault="00722531" w:rsidP="00722531">
      <w:pPr>
        <w:rPr>
          <w:rStyle w:val="normaltextrun"/>
          <w:rFonts w:asciiTheme="majorHAnsi" w:hAnsiTheme="majorHAnsi" w:cstheme="majorHAnsi"/>
        </w:rPr>
      </w:pPr>
      <w:r>
        <w:rPr>
          <w:rStyle w:val="normaltextrun"/>
          <w:rFonts w:asciiTheme="majorHAnsi" w:hAnsiTheme="majorHAnsi" w:cstheme="majorHAnsi"/>
        </w:rPr>
        <w:t>C</w:t>
      </w:r>
      <w:r w:rsidRPr="00130B55">
        <w:rPr>
          <w:rStyle w:val="normaltextrun"/>
          <w:rFonts w:asciiTheme="majorHAnsi" w:hAnsiTheme="majorHAnsi" w:cstheme="majorHAnsi"/>
        </w:rPr>
        <w:t>ontribution personnelle :</w:t>
      </w:r>
    </w:p>
    <w:p w14:paraId="7D07ADE3" w14:textId="77777777" w:rsidR="00C835D8" w:rsidRDefault="00C835D8" w:rsidP="00C835D8">
      <w:pPr>
        <w:rPr>
          <w:rStyle w:val="normaltextrun"/>
          <w:rFonts w:asciiTheme="majorHAnsi" w:hAnsiTheme="majorHAnsi" w:cstheme="majorHAnsi"/>
        </w:rPr>
      </w:pPr>
      <w:r>
        <w:rPr>
          <w:rStyle w:val="normaltextrun"/>
          <w:rFonts w:asciiTheme="majorHAnsi" w:hAnsiTheme="majorHAnsi" w:cstheme="majorHAnsi"/>
        </w:rPr>
        <w:t>Les auteurs ont développé un outil capable de faire une approximation des émissions de CO2eq</w:t>
      </w:r>
    </w:p>
    <w:p w14:paraId="14438310" w14:textId="393ACF5B" w:rsidR="00C835D8" w:rsidRDefault="00C835D8" w:rsidP="00722531">
      <w:pPr>
        <w:rPr>
          <w:rStyle w:val="normaltextrun"/>
          <w:rFonts w:asciiTheme="majorHAnsi" w:hAnsiTheme="majorHAnsi" w:cstheme="majorHAnsi"/>
        </w:rPr>
      </w:pPr>
      <w:r>
        <w:rPr>
          <w:rStyle w:val="normaltextrun"/>
          <w:rFonts w:asciiTheme="majorHAnsi" w:hAnsiTheme="majorHAnsi" w:cstheme="majorHAnsi"/>
        </w:rPr>
        <w:t>4 recommandations :</w:t>
      </w:r>
    </w:p>
    <w:p w14:paraId="38517713" w14:textId="301F1611" w:rsidR="000B02BA" w:rsidRPr="000B02BA" w:rsidRDefault="000B02BA" w:rsidP="000B02BA">
      <w:pPr>
        <w:pStyle w:val="Paragraphedeliste"/>
        <w:numPr>
          <w:ilvl w:val="0"/>
          <w:numId w:val="3"/>
        </w:numPr>
        <w:spacing w:after="0" w:line="240" w:lineRule="auto"/>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Choisir son cloud de façon intelligente : </w:t>
      </w:r>
    </w:p>
    <w:p w14:paraId="2851DD8F" w14:textId="77777777" w:rsidR="000B02BA" w:rsidRPr="000B02BA" w:rsidRDefault="000B02BA" w:rsidP="000B02BA">
      <w:pPr>
        <w:spacing w:after="0" w:line="240" w:lineRule="auto"/>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Depuis quelques années, les fournisseurs de cloud ont commencé à mettre en place des objectifs pour compenser leurs émissions grâce à des certificats d’énergie renouvelable (REC) dans le but de devenir neutre en carbone. Un REC atteste que 1MWh d’énergie renouvelable a été utilisée. Par exemple, Google Cloud Platform est certifiée neutre en carbone et finance des parcs solaires et éoliens grâce aux REC, selon une estimation faite en 2016 Microsoft Azure est également certifié neutre en carbone et 44 % de sa consommation d'électricité provient directement d'énergies renouvelables. Enfin, d’après les auteurs de cet article, Amazon Web Services finance également des projets d'énergie renouvelable et certains de ses centres de données sont alimentés par des énergies renouvelables. </w:t>
      </w:r>
    </w:p>
    <w:p w14:paraId="67AD7FA1" w14:textId="521E8137" w:rsidR="000B02BA" w:rsidRDefault="000B02BA" w:rsidP="000B02BA">
      <w:pPr>
        <w:spacing w:after="0" w:line="240" w:lineRule="auto"/>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De plus il est aussi important de prendre en compte l’indicateur d’efficacité énergétique (pue) des centres où sont hébergés les GPU, qui représente le pourcentage de la consommation d'énergie utilisé pour le refroidissement, la conversion d'énergie et d'autres tâches auxiliaires, et qui peut varier énormément. Par exemple, Google Cloud Services a un PUE moyen de 1,1, ce qui signifie que seulement 11 % de sa consommation totale d'énergie n'est pas utilisée pour les serveurs. </w:t>
      </w:r>
    </w:p>
    <w:p w14:paraId="7750023B" w14:textId="77777777" w:rsidR="00C835D8" w:rsidRPr="000B02BA" w:rsidRDefault="00C835D8" w:rsidP="000B02BA">
      <w:pPr>
        <w:spacing w:after="0" w:line="240" w:lineRule="auto"/>
        <w:ind w:left="708"/>
        <w:jc w:val="both"/>
        <w:textAlignment w:val="baseline"/>
        <w:rPr>
          <w:rStyle w:val="normaltextrun"/>
          <w:rFonts w:asciiTheme="majorHAnsi" w:hAnsiTheme="majorHAnsi" w:cstheme="majorHAnsi"/>
        </w:rPr>
      </w:pPr>
    </w:p>
    <w:p w14:paraId="060624AD" w14:textId="038B39F7" w:rsidR="000B02BA" w:rsidRPr="000B02BA" w:rsidRDefault="000B02BA" w:rsidP="000B02BA">
      <w:pPr>
        <w:spacing w:after="0" w:line="240" w:lineRule="auto"/>
        <w:ind w:left="1458"/>
        <w:jc w:val="both"/>
        <w:textAlignment w:val="baseline"/>
        <w:rPr>
          <w:rStyle w:val="normaltextrun"/>
          <w:rFonts w:asciiTheme="majorHAnsi" w:hAnsiTheme="majorHAnsi" w:cstheme="majorHAnsi"/>
        </w:rPr>
      </w:pPr>
    </w:p>
    <w:p w14:paraId="34B9A484" w14:textId="3C632DBC" w:rsidR="000B02BA" w:rsidRPr="000B02BA" w:rsidRDefault="000B02BA" w:rsidP="000B02BA">
      <w:pPr>
        <w:pStyle w:val="Paragraphedeliste"/>
        <w:numPr>
          <w:ilvl w:val="0"/>
          <w:numId w:val="3"/>
        </w:numPr>
        <w:spacing w:after="0" w:line="240" w:lineRule="auto"/>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Choisir le lieu de son data center : </w:t>
      </w:r>
    </w:p>
    <w:p w14:paraId="50E9211C" w14:textId="77777777" w:rsidR="000B02BA" w:rsidRPr="000B02BA" w:rsidRDefault="000B02BA" w:rsidP="000B02BA">
      <w:pPr>
        <w:spacing w:after="0" w:line="240" w:lineRule="auto"/>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Bien que plusieurs fournisseurs de cloud soient neutres en carbone, certains de leurs data center peuvent tout de même émettre beaucoup de carbone dû au lieu où ils se trouvent. Il est donc très important de bien choisir le lieu du data center où l’algorithme s’entrainera. Ce seul choix peut faire varier les émissions directes d'un algorithme d'un algorithme par un facteur de 40, et on peut donc passer de 20g CO2eq/kWh dans un lieu utilisant des sources d'énergie renouvelables à 820g CO2eq/kWh dans un lieu dépendant uniquement des combustibles fossiles. Pour un modèle qui sont entraînés sur plusieurs GPU pendant plusieurs semaines, cela peut permette d'éviter d'émettre plusieurs centaines de kilogrammes de CO2eq. </w:t>
      </w:r>
    </w:p>
    <w:p w14:paraId="1AA8221D" w14:textId="15832A07" w:rsidR="000B02BA" w:rsidRPr="000B02BA" w:rsidRDefault="000B02BA" w:rsidP="000B02BA">
      <w:pPr>
        <w:spacing w:after="0" w:line="240" w:lineRule="auto"/>
        <w:ind w:left="1458"/>
        <w:jc w:val="both"/>
        <w:textAlignment w:val="baseline"/>
        <w:rPr>
          <w:rStyle w:val="normaltextrun"/>
          <w:rFonts w:asciiTheme="majorHAnsi" w:hAnsiTheme="majorHAnsi" w:cstheme="majorHAnsi"/>
        </w:rPr>
      </w:pPr>
    </w:p>
    <w:p w14:paraId="3F317E70" w14:textId="775D71D1" w:rsidR="000B02BA" w:rsidRPr="000B02BA" w:rsidRDefault="000B02BA" w:rsidP="000B02BA">
      <w:pPr>
        <w:pStyle w:val="Paragraphedeliste"/>
        <w:numPr>
          <w:ilvl w:val="0"/>
          <w:numId w:val="3"/>
        </w:numPr>
        <w:spacing w:after="0" w:line="240" w:lineRule="auto"/>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Limiter la perte de ressources : </w:t>
      </w:r>
    </w:p>
    <w:p w14:paraId="68CC6899" w14:textId="77777777" w:rsidR="000B02BA" w:rsidRPr="000B02BA" w:rsidRDefault="000B02BA" w:rsidP="000B02BA">
      <w:pPr>
        <w:spacing w:after="0" w:line="240" w:lineRule="auto"/>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 xml:space="preserve">Il est très important de faire les bons choix lorsque des tests et des expériences sont faites car ils peuvent être la raison d’énergies utilisées à perte. Par exemple la recherche par grille est encore fortement utilisée alors que son efficacité en termes de performances du modèle ainsi que son impact environnemental sont </w:t>
      </w:r>
      <w:proofErr w:type="gramStart"/>
      <w:r w:rsidRPr="000B02BA">
        <w:rPr>
          <w:rStyle w:val="normaltextrun"/>
          <w:rFonts w:asciiTheme="majorHAnsi" w:hAnsiTheme="majorHAnsi" w:cstheme="majorHAnsi"/>
        </w:rPr>
        <w:t>mauvais</w:t>
      </w:r>
      <w:proofErr w:type="gramEnd"/>
      <w:r w:rsidRPr="000B02BA">
        <w:rPr>
          <w:rStyle w:val="normaltextrun"/>
          <w:rFonts w:asciiTheme="majorHAnsi" w:hAnsiTheme="majorHAnsi" w:cstheme="majorHAnsi"/>
        </w:rPr>
        <w:t>. Il a été aussi démontré que la recherche aléatoire est remplacement simple mais a également le potentiel d’accélérer de manière significative la recherche d'hyperparamètres réduisant ainsi les émissions de carbone. De plus, on peut réduire le nombre d'expériences ratées grâce à une conception soignée, telle que des tests unitaires, des tests d'intégration et un débogage précoce et étendu. Il faut prendre le temps d'effectuer une analyse documentaire. </w:t>
      </w:r>
    </w:p>
    <w:p w14:paraId="04D5B497" w14:textId="47FB5F85" w:rsidR="000B02BA" w:rsidRPr="000B02BA" w:rsidRDefault="000B02BA" w:rsidP="000B02BA">
      <w:pPr>
        <w:spacing w:after="0" w:line="240" w:lineRule="auto"/>
        <w:ind w:left="1458"/>
        <w:jc w:val="both"/>
        <w:textAlignment w:val="baseline"/>
        <w:rPr>
          <w:rStyle w:val="normaltextrun"/>
          <w:rFonts w:asciiTheme="majorHAnsi" w:hAnsiTheme="majorHAnsi" w:cstheme="majorHAnsi"/>
        </w:rPr>
      </w:pPr>
    </w:p>
    <w:p w14:paraId="157DB3C3" w14:textId="3DADAEBB" w:rsidR="000B02BA" w:rsidRPr="000B02BA" w:rsidRDefault="000B02BA" w:rsidP="000B02BA">
      <w:pPr>
        <w:pStyle w:val="Paragraphedeliste"/>
        <w:numPr>
          <w:ilvl w:val="0"/>
          <w:numId w:val="3"/>
        </w:numPr>
        <w:spacing w:after="0" w:line="240" w:lineRule="auto"/>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Bien choisir son Hardware : </w:t>
      </w:r>
    </w:p>
    <w:p w14:paraId="12660E71" w14:textId="77777777" w:rsidR="000B02BA" w:rsidRPr="000B02BA" w:rsidRDefault="000B02BA" w:rsidP="000B02BA">
      <w:pPr>
        <w:spacing w:after="0" w:line="240" w:lineRule="auto"/>
        <w:ind w:left="708"/>
        <w:jc w:val="both"/>
        <w:textAlignment w:val="baseline"/>
        <w:rPr>
          <w:rStyle w:val="normaltextrun"/>
          <w:rFonts w:asciiTheme="majorHAnsi" w:hAnsiTheme="majorHAnsi" w:cstheme="majorHAnsi"/>
        </w:rPr>
      </w:pPr>
      <w:r w:rsidRPr="000B02BA">
        <w:rPr>
          <w:rStyle w:val="normaltextrun"/>
          <w:rFonts w:asciiTheme="majorHAnsi" w:hAnsiTheme="majorHAnsi" w:cstheme="majorHAnsi"/>
        </w:rPr>
        <w:t>Le choix du matériel peut aussi influer sur les émissions du Machine Learning. Pour effectuer une comparaison entre différents dispositifs, leur efficacité de calcul peut être estimée en FLOPS/W. Cette estimation est basée sur leur performance maximale théorique par rapport à leur puissance de conception thermique (TDP). En utilisant cette approche, on constate que les CPU peuvent être 10 fois moins efficaces que les GPU, tandis que les TPU 3 peuvent être 4 à 8 fois plus efficaces que les GPU. </w:t>
      </w:r>
    </w:p>
    <w:p w14:paraId="14457A4B" w14:textId="77777777" w:rsidR="000B02BA" w:rsidRPr="00722531" w:rsidRDefault="000B02BA" w:rsidP="00722531">
      <w:pPr>
        <w:rPr>
          <w:rStyle w:val="normaltextrun"/>
          <w:rFonts w:asciiTheme="majorHAnsi" w:hAnsiTheme="majorHAnsi" w:cstheme="majorHAnsi"/>
        </w:rPr>
      </w:pPr>
    </w:p>
    <w:p w14:paraId="2FA96E7F" w14:textId="77777777" w:rsidR="00381BC9" w:rsidRDefault="00381BC9" w:rsidP="00381BC9">
      <w:pPr>
        <w:rPr>
          <w:rStyle w:val="normaltextrun"/>
          <w:rFonts w:asciiTheme="majorHAnsi" w:hAnsiTheme="majorHAnsi" w:cstheme="majorHAnsi"/>
        </w:rPr>
      </w:pPr>
      <w:r w:rsidRPr="00130B55">
        <w:rPr>
          <w:rStyle w:val="normaltextrun"/>
          <w:rFonts w:asciiTheme="majorHAnsi" w:hAnsiTheme="majorHAnsi" w:cstheme="majorHAnsi"/>
        </w:rPr>
        <w:t>L'impact des résultats :</w:t>
      </w:r>
    </w:p>
    <w:p w14:paraId="1200C206" w14:textId="77777777" w:rsidR="00381BC9" w:rsidRDefault="00381BC9" w:rsidP="00381BC9">
      <w:pPr>
        <w:rPr>
          <w:rStyle w:val="normaltextrun"/>
        </w:rPr>
      </w:pPr>
      <w:r w:rsidRPr="001220EE">
        <w:rPr>
          <w:rStyle w:val="normaltextrun"/>
          <w:rFonts w:asciiTheme="majorHAnsi" w:hAnsiTheme="majorHAnsi" w:cstheme="majorHAnsi"/>
        </w:rPr>
        <w:t>Critique personnelle</w:t>
      </w:r>
      <w:r w:rsidRPr="00130B55">
        <w:rPr>
          <w:rStyle w:val="normaltextrun"/>
        </w:rPr>
        <w:t xml:space="preserve"> : </w:t>
      </w:r>
    </w:p>
    <w:p w14:paraId="42202963" w14:textId="77777777" w:rsidR="00381BC9" w:rsidRPr="00F74477" w:rsidRDefault="00381BC9" w:rsidP="00381BC9">
      <w:pPr>
        <w:rPr>
          <w:rStyle w:val="normaltextrun"/>
          <w:rFonts w:asciiTheme="majorHAnsi" w:hAnsiTheme="majorHAnsi" w:cstheme="majorHAnsi"/>
        </w:rPr>
      </w:pPr>
      <w:r w:rsidRPr="00F74477">
        <w:rPr>
          <w:rStyle w:val="normaltextrun"/>
          <w:rFonts w:asciiTheme="majorHAnsi" w:hAnsiTheme="majorHAnsi" w:cstheme="majorHAnsi"/>
        </w:rPr>
        <w:t>Axe d’amélioration :</w:t>
      </w:r>
    </w:p>
    <w:p w14:paraId="66E08032" w14:textId="77777777" w:rsidR="00381BC9" w:rsidRPr="00130B55" w:rsidRDefault="00381BC9" w:rsidP="00381BC9">
      <w:pPr>
        <w:rPr>
          <w:rStyle w:val="normaltextrun"/>
          <w:rFonts w:asciiTheme="majorHAnsi" w:hAnsiTheme="majorHAnsi" w:cstheme="majorHAnsi"/>
        </w:rPr>
      </w:pPr>
      <w:r w:rsidRPr="00F74477">
        <w:rPr>
          <w:rStyle w:val="normaltextrun"/>
          <w:rFonts w:asciiTheme="majorHAnsi" w:hAnsiTheme="majorHAnsi" w:cstheme="majorHAnsi"/>
        </w:rPr>
        <w:t>Implémentation :</w:t>
      </w:r>
    </w:p>
    <w:p w14:paraId="103B9788" w14:textId="020B0BFD" w:rsidR="00381BC9" w:rsidRDefault="00381BC9" w:rsidP="00130B55">
      <w:pPr>
        <w:rPr>
          <w:rFonts w:asciiTheme="majorHAnsi" w:hAnsiTheme="majorHAnsi" w:cstheme="majorHAnsi"/>
          <w:sz w:val="24"/>
          <w:szCs w:val="24"/>
        </w:rPr>
      </w:pPr>
    </w:p>
    <w:p w14:paraId="43A39777" w14:textId="627BA3CE" w:rsidR="00381BC9" w:rsidRDefault="00381BC9" w:rsidP="00130B55">
      <w:pPr>
        <w:rPr>
          <w:rFonts w:asciiTheme="majorHAnsi" w:hAnsiTheme="majorHAnsi" w:cstheme="majorHAnsi"/>
          <w:sz w:val="24"/>
          <w:szCs w:val="24"/>
        </w:rPr>
      </w:pPr>
    </w:p>
    <w:p w14:paraId="62AE082C" w14:textId="08E61F1D" w:rsidR="00C835D8" w:rsidRDefault="00C835D8" w:rsidP="00130B55">
      <w:pPr>
        <w:rPr>
          <w:rFonts w:asciiTheme="majorHAnsi" w:hAnsiTheme="majorHAnsi" w:cstheme="majorHAnsi"/>
          <w:sz w:val="24"/>
          <w:szCs w:val="24"/>
        </w:rPr>
      </w:pPr>
    </w:p>
    <w:p w14:paraId="7F445F7E" w14:textId="77777777" w:rsidR="00562113" w:rsidRDefault="00562113" w:rsidP="00130B55">
      <w:pPr>
        <w:rPr>
          <w:rFonts w:asciiTheme="majorHAnsi" w:hAnsiTheme="majorHAnsi" w:cstheme="majorHAnsi"/>
          <w:sz w:val="24"/>
          <w:szCs w:val="24"/>
        </w:rPr>
      </w:pPr>
    </w:p>
    <w:p w14:paraId="428625B6" w14:textId="2F619CDF" w:rsidR="00C835D8" w:rsidRDefault="00C835D8" w:rsidP="00130B55">
      <w:pPr>
        <w:rPr>
          <w:rFonts w:asciiTheme="majorHAnsi" w:hAnsiTheme="majorHAnsi" w:cstheme="majorHAnsi"/>
          <w:sz w:val="24"/>
          <w:szCs w:val="24"/>
        </w:rPr>
      </w:pPr>
    </w:p>
    <w:p w14:paraId="3D0AE77F" w14:textId="7D8D678B" w:rsidR="006A4A9D" w:rsidRDefault="006A4A9D" w:rsidP="00C835D8">
      <w:pPr>
        <w:jc w:val="center"/>
        <w:rPr>
          <w:rFonts w:asciiTheme="majorHAnsi" w:hAnsiTheme="majorHAnsi" w:cstheme="majorHAnsi"/>
          <w:sz w:val="24"/>
          <w:szCs w:val="24"/>
        </w:rPr>
      </w:pPr>
    </w:p>
    <w:p w14:paraId="34CA465E" w14:textId="4EFA5C30" w:rsidR="006A4A9D" w:rsidRDefault="006A4A9D" w:rsidP="00C835D8">
      <w:pPr>
        <w:jc w:val="center"/>
        <w:rPr>
          <w:rFonts w:asciiTheme="majorHAnsi" w:hAnsiTheme="majorHAnsi" w:cstheme="majorHAnsi"/>
          <w:sz w:val="24"/>
          <w:szCs w:val="24"/>
        </w:rPr>
      </w:pPr>
    </w:p>
    <w:p w14:paraId="6FAAECB7" w14:textId="77777777" w:rsidR="00625D0E" w:rsidRPr="0080009F" w:rsidRDefault="00625D0E" w:rsidP="00625D0E">
      <w:pPr>
        <w:jc w:val="center"/>
        <w:rPr>
          <w:sz w:val="48"/>
          <w:szCs w:val="48"/>
        </w:rPr>
      </w:pPr>
      <w:r>
        <w:rPr>
          <w:sz w:val="48"/>
          <w:szCs w:val="48"/>
        </w:rPr>
        <w:lastRenderedPageBreak/>
        <w:t>Fiche économie :</w:t>
      </w:r>
    </w:p>
    <w:p w14:paraId="0B482DB5" w14:textId="77777777" w:rsidR="00625D0E" w:rsidRDefault="00625D0E" w:rsidP="00625D0E"/>
    <w:p w14:paraId="6B0E2ABB" w14:textId="77777777" w:rsidR="00625D0E" w:rsidRDefault="00625D0E" w:rsidP="00625D0E"/>
    <w:p w14:paraId="198A27B2" w14:textId="77777777" w:rsidR="00625D0E" w:rsidRDefault="00625D0E" w:rsidP="00625D0E">
      <w:pPr>
        <w:pStyle w:val="Paragraphedeliste"/>
        <w:numPr>
          <w:ilvl w:val="0"/>
          <w:numId w:val="15"/>
        </w:numPr>
      </w:pPr>
      <w:r>
        <w:t>Économie transactionnelle : pas d’interactions humaine que du machine-machine</w:t>
      </w:r>
    </w:p>
    <w:p w14:paraId="64219088" w14:textId="77777777" w:rsidR="00625D0E" w:rsidRDefault="00625D0E" w:rsidP="00625D0E">
      <w:pPr>
        <w:pStyle w:val="Paragraphedeliste"/>
      </w:pPr>
    </w:p>
    <w:p w14:paraId="76B2AC6F" w14:textId="77777777" w:rsidR="00625D0E" w:rsidRDefault="00625D0E" w:rsidP="00625D0E">
      <w:pPr>
        <w:pStyle w:val="Paragraphedeliste"/>
        <w:numPr>
          <w:ilvl w:val="0"/>
          <w:numId w:val="15"/>
        </w:numPr>
      </w:pPr>
      <w:r>
        <w:t xml:space="preserve">Economie régulée : Une économie avec des réglementations. </w:t>
      </w:r>
      <w:r w:rsidRPr="00D80E36">
        <w:t xml:space="preserve">Il s'agit de l'application de </w:t>
      </w:r>
      <w:r>
        <w:t>régulation</w:t>
      </w:r>
      <w:r w:rsidRPr="00D80E36">
        <w:t xml:space="preserve"> par le gouvernement ou les organismes de réglementation à des fins diverses, notamment pour remédier aux défaillances du marché, protéger l'environnement et gérer l'économie.</w:t>
      </w:r>
      <w:r>
        <w:t xml:space="preserve"> </w:t>
      </w:r>
    </w:p>
    <w:p w14:paraId="3F8E2844" w14:textId="77777777" w:rsidR="00625D0E" w:rsidRDefault="00625D0E" w:rsidP="00625D0E">
      <w:pPr>
        <w:pStyle w:val="Paragraphedeliste"/>
      </w:pPr>
    </w:p>
    <w:p w14:paraId="4BABA1FA" w14:textId="77777777" w:rsidR="00625D0E" w:rsidRDefault="00625D0E" w:rsidP="00625D0E">
      <w:pPr>
        <w:pStyle w:val="Paragraphedeliste"/>
        <w:numPr>
          <w:ilvl w:val="0"/>
          <w:numId w:val="15"/>
        </w:numPr>
      </w:pPr>
      <w:r>
        <w:t>Libertariens : L</w:t>
      </w:r>
      <w:r w:rsidRPr="009A25EE">
        <w:t>e libertarianisme prône une société fondée sur la liberté d'expression des individus dans le respect du droit, du pluralisme et du libre-échange des idées.</w:t>
      </w:r>
      <w:r>
        <w:t xml:space="preserve"> </w:t>
      </w:r>
      <w:r w:rsidRPr="009A25EE">
        <w:t xml:space="preserve">Le libertarisme échappe à un positionnement politique classique </w:t>
      </w:r>
      <w:proofErr w:type="gramStart"/>
      <w:r w:rsidRPr="009A25EE">
        <w:t>de par</w:t>
      </w:r>
      <w:proofErr w:type="gramEnd"/>
      <w:r w:rsidRPr="009A25EE">
        <w:t xml:space="preserve"> ses thèses qui le situent à la fois à gauche au plan des libertés individuelles : légalisation des stupéfiants, liberté d'expression, liberté de circulation, liberté sexuelle... Et à droite au </w:t>
      </w:r>
      <w:proofErr w:type="gramStart"/>
      <w:r w:rsidRPr="009A25EE">
        <w:t>plan</w:t>
      </w:r>
      <w:proofErr w:type="gramEnd"/>
      <w:r w:rsidRPr="009A25EE">
        <w:t xml:space="preserve"> des libertés économiques : respect de la propriété privée, libre-échange, suppression des impôts, diminution drastique de la fiscalité, justice </w:t>
      </w:r>
      <w:proofErr w:type="spellStart"/>
      <w:r w:rsidRPr="009A25EE">
        <w:t>réhabilitative</w:t>
      </w:r>
      <w:proofErr w:type="spellEnd"/>
      <w:r w:rsidRPr="009A25EE">
        <w:t>...).</w:t>
      </w:r>
    </w:p>
    <w:p w14:paraId="1271D588" w14:textId="77777777" w:rsidR="00625D0E" w:rsidRDefault="00625D0E" w:rsidP="00625D0E">
      <w:pPr>
        <w:pStyle w:val="Paragraphedeliste"/>
      </w:pPr>
      <w:r>
        <w:t xml:space="preserve">Mais critiquée : </w:t>
      </w:r>
    </w:p>
    <w:p w14:paraId="3419707D" w14:textId="77777777" w:rsidR="00625D0E" w:rsidRDefault="00625D0E" w:rsidP="00625D0E">
      <w:pPr>
        <w:pStyle w:val="Paragraphedeliste"/>
        <w:numPr>
          <w:ilvl w:val="0"/>
          <w:numId w:val="14"/>
        </w:numPr>
        <w:rPr>
          <w:rFonts w:ascii="Arial" w:hAnsi="Arial" w:cs="Arial"/>
          <w:color w:val="202122"/>
          <w:sz w:val="21"/>
          <w:szCs w:val="21"/>
          <w:shd w:val="clear" w:color="auto" w:fill="FFFFFF"/>
        </w:rPr>
      </w:pPr>
      <w:r w:rsidRPr="009A25EE">
        <w:rPr>
          <w:rFonts w:ascii="Arial" w:hAnsi="Arial" w:cs="Arial"/>
          <w:color w:val="202122"/>
          <w:sz w:val="21"/>
          <w:szCs w:val="21"/>
          <w:shd w:val="clear" w:color="auto" w:fill="FFFFFF"/>
        </w:rPr>
        <w:t>Accusé le libertarianisme d'être une liberté faussée en particulier par l'argent</w:t>
      </w:r>
    </w:p>
    <w:p w14:paraId="4EFD3A16" w14:textId="77777777" w:rsidR="00625D0E" w:rsidRPr="00355356" w:rsidRDefault="00625D0E" w:rsidP="00625D0E">
      <w:pPr>
        <w:pStyle w:val="Paragraphedeliste"/>
        <w:numPr>
          <w:ilvl w:val="0"/>
          <w:numId w:val="14"/>
        </w:numPr>
        <w:rPr>
          <w:rFonts w:ascii="Arial" w:hAnsi="Arial" w:cs="Arial"/>
          <w:color w:val="202122"/>
          <w:sz w:val="21"/>
          <w:szCs w:val="21"/>
          <w:shd w:val="clear" w:color="auto" w:fill="FFFFFF"/>
        </w:rPr>
      </w:pPr>
      <w:r w:rsidRPr="009A25EE">
        <w:t>Une société qui fonctionnerait selon les principes libertariens américains s'autodétruirait en quelques secondes</w:t>
      </w:r>
    </w:p>
    <w:p w14:paraId="63AA2D31" w14:textId="77777777" w:rsidR="00625D0E" w:rsidRPr="00355356" w:rsidRDefault="00625D0E" w:rsidP="00625D0E">
      <w:pPr>
        <w:pStyle w:val="Paragraphedeliste"/>
        <w:ind w:left="1440"/>
        <w:rPr>
          <w:rFonts w:ascii="Arial" w:hAnsi="Arial" w:cs="Arial"/>
          <w:color w:val="202122"/>
          <w:sz w:val="21"/>
          <w:szCs w:val="21"/>
          <w:shd w:val="clear" w:color="auto" w:fill="FFFFFF"/>
        </w:rPr>
      </w:pPr>
    </w:p>
    <w:p w14:paraId="12948A6B" w14:textId="77777777" w:rsidR="00625D0E" w:rsidRDefault="00625D0E" w:rsidP="00625D0E">
      <w:pPr>
        <w:pStyle w:val="Paragraphedeliste"/>
        <w:numPr>
          <w:ilvl w:val="0"/>
          <w:numId w:val="15"/>
        </w:numPr>
      </w:pPr>
      <w:r>
        <w:t xml:space="preserve">Concept de volatilité : </w:t>
      </w:r>
      <w:r w:rsidRPr="003A5CAC">
        <w:t>est un indicateur de la dispersion de ses rendements par rapport à une moyenne sur une période donnée. Elle est mesurée à l’aide d’un indicateur statistique : l’écart-type.</w:t>
      </w:r>
      <w:r>
        <w:t xml:space="preserve"> Plus les marchés sont instables plus la volatilité est importante. C’est un moyen de calculer le risque</w:t>
      </w:r>
    </w:p>
    <w:p w14:paraId="678EE7A3" w14:textId="77777777" w:rsidR="00625D0E" w:rsidRDefault="00625D0E" w:rsidP="00625D0E">
      <w:pPr>
        <w:pStyle w:val="Paragraphedeliste"/>
      </w:pPr>
    </w:p>
    <w:p w14:paraId="70593DF7" w14:textId="77777777" w:rsidR="00625D0E" w:rsidRDefault="00625D0E" w:rsidP="00625D0E">
      <w:pPr>
        <w:pStyle w:val="Paragraphedeliste"/>
        <w:numPr>
          <w:ilvl w:val="0"/>
          <w:numId w:val="15"/>
        </w:numPr>
      </w:pPr>
      <w:r>
        <w:t xml:space="preserve">Valeur réelle : </w:t>
      </w:r>
      <w:r w:rsidRPr="009B5E75">
        <w:t>permet d’exprimer la valeur d’une variable en prix constants, c’est</w:t>
      </w:r>
      <w:r w:rsidRPr="00355356">
        <w:rPr>
          <w:rFonts w:ascii="Cambria Math" w:hAnsi="Cambria Math" w:cs="Cambria Math"/>
        </w:rPr>
        <w:t>‑</w:t>
      </w:r>
      <w:r w:rsidRPr="00355356">
        <w:rPr>
          <w:rFonts w:ascii="Calibri" w:hAnsi="Calibri" w:cs="Calibri"/>
        </w:rPr>
        <w:t>à</w:t>
      </w:r>
      <w:r w:rsidRPr="00355356">
        <w:rPr>
          <w:rFonts w:ascii="Cambria Math" w:hAnsi="Cambria Math" w:cs="Cambria Math"/>
        </w:rPr>
        <w:t>‑</w:t>
      </w:r>
      <w:r w:rsidRPr="009B5E75">
        <w:t>dire en neutralisant les effets de l</w:t>
      </w:r>
      <w:r w:rsidRPr="00355356">
        <w:rPr>
          <w:rFonts w:ascii="Calibri" w:hAnsi="Calibri" w:cs="Calibri"/>
        </w:rPr>
        <w:t>’</w:t>
      </w:r>
      <w:r w:rsidRPr="009B5E75">
        <w:t>inflation (augmentation du niveau g</w:t>
      </w:r>
      <w:r w:rsidRPr="00355356">
        <w:rPr>
          <w:rFonts w:ascii="Calibri" w:hAnsi="Calibri" w:cs="Calibri"/>
        </w:rPr>
        <w:t>é</w:t>
      </w:r>
      <w:r w:rsidRPr="009B5E75">
        <w:t>n</w:t>
      </w:r>
      <w:r w:rsidRPr="00355356">
        <w:rPr>
          <w:rFonts w:ascii="Calibri" w:hAnsi="Calibri" w:cs="Calibri"/>
        </w:rPr>
        <w:t>é</w:t>
      </w:r>
      <w:r w:rsidRPr="009B5E75">
        <w:t>ral des prix), grâce à l’utilisation des prix d’une année de référence, appelée année de base.</w:t>
      </w:r>
      <w:r>
        <w:t xml:space="preserve"> </w:t>
      </w:r>
      <w:r w:rsidRPr="009B5E75">
        <w:t xml:space="preserve">La valeur réelle se lit </w:t>
      </w:r>
      <w:r>
        <w:t>en monnaie</w:t>
      </w:r>
      <w:r w:rsidRPr="009B5E75">
        <w:t xml:space="preserve"> constant</w:t>
      </w:r>
      <w:r>
        <w:t>e</w:t>
      </w:r>
      <w:r w:rsidRPr="009B5E75">
        <w:t xml:space="preserve"> et il faut ajouter l’année de base.</w:t>
      </w:r>
    </w:p>
    <w:p w14:paraId="2AAB2032" w14:textId="77777777" w:rsidR="00625D0E" w:rsidRDefault="00625D0E" w:rsidP="00625D0E">
      <w:pPr>
        <w:pStyle w:val="Paragraphedeliste"/>
      </w:pPr>
      <w:r>
        <w:t>A ne pas confondre avec la valeur nominale qui est le prix en de l’année en court prenant en compte l’inflation, la devise etc…</w:t>
      </w:r>
    </w:p>
    <w:p w14:paraId="01FEF48F" w14:textId="77777777" w:rsidR="00625D0E" w:rsidRDefault="00625D0E" w:rsidP="00625D0E">
      <w:pPr>
        <w:pStyle w:val="Paragraphedeliste"/>
      </w:pPr>
    </w:p>
    <w:p w14:paraId="2CF8D5FC" w14:textId="77777777" w:rsidR="00625D0E" w:rsidRDefault="00625D0E" w:rsidP="00625D0E">
      <w:pPr>
        <w:pStyle w:val="Paragraphedeliste"/>
        <w:numPr>
          <w:ilvl w:val="0"/>
          <w:numId w:val="15"/>
        </w:numPr>
      </w:pPr>
      <w:r>
        <w:t xml:space="preserve">L’inflation : </w:t>
      </w:r>
      <w:r w:rsidRPr="00355356">
        <w:t>On parle d’inflation lorsque les prix augmentent globalement, et non uniquement les prix de quelques biens et services.</w:t>
      </w:r>
      <w:r>
        <w:t xml:space="preserve"> </w:t>
      </w:r>
      <w:r w:rsidRPr="008560FA">
        <w:t>Cette situation correspond à une baisse du pouvoir d’achat de la monnaie. En clair, avec la même somme d’argent, on peut acheter moins de choses qu’auparavant.</w:t>
      </w:r>
    </w:p>
    <w:p w14:paraId="6135FBB0" w14:textId="77777777" w:rsidR="00625D0E" w:rsidRDefault="00625D0E" w:rsidP="00625D0E">
      <w:pPr>
        <w:pStyle w:val="Paragraphedeliste"/>
      </w:pPr>
    </w:p>
    <w:p w14:paraId="6F05894B" w14:textId="77777777" w:rsidR="00625D0E" w:rsidRDefault="00625D0E" w:rsidP="00625D0E">
      <w:pPr>
        <w:pStyle w:val="Paragraphedeliste"/>
        <w:numPr>
          <w:ilvl w:val="0"/>
          <w:numId w:val="15"/>
        </w:numPr>
      </w:pPr>
      <w:r w:rsidRPr="00573DD2">
        <w:t>Amortissement</w:t>
      </w:r>
      <w:r>
        <w:t> :</w:t>
      </w:r>
      <w:r w:rsidRPr="00573DD2">
        <w:t xml:space="preserve"> selon le contexte, remboursement d’une partie ou de la totalité d’un crédit bancaire ou d’un emprunt, ou quote-part de la valeur d’un actif correspondant à sa décote (liée notamment à son obsolescence ou usure) par rapport à son coût d’acquisition.</w:t>
      </w:r>
    </w:p>
    <w:p w14:paraId="4270F3D6" w14:textId="77777777" w:rsidR="00625D0E" w:rsidRDefault="00625D0E" w:rsidP="00625D0E">
      <w:pPr>
        <w:pStyle w:val="Paragraphedeliste"/>
      </w:pPr>
    </w:p>
    <w:p w14:paraId="024740AC" w14:textId="77777777" w:rsidR="00625D0E" w:rsidRDefault="00625D0E" w:rsidP="00625D0E">
      <w:pPr>
        <w:pStyle w:val="Paragraphedeliste"/>
        <w:numPr>
          <w:ilvl w:val="0"/>
          <w:numId w:val="15"/>
        </w:numPr>
      </w:pPr>
      <w:r w:rsidRPr="00573DD2">
        <w:lastRenderedPageBreak/>
        <w:t>Actualisation : calcul qui permet de transformer un flux financier futur en une valeur équivalente présente. L’actualisation sert à mesurer la pertinence d’un investissement. L’inverse de l’actualisation est la capitalisation.</w:t>
      </w:r>
    </w:p>
    <w:p w14:paraId="0288B77E" w14:textId="77777777" w:rsidR="00625D0E" w:rsidRDefault="00625D0E" w:rsidP="00625D0E">
      <w:pPr>
        <w:pStyle w:val="Paragraphedeliste"/>
      </w:pPr>
    </w:p>
    <w:p w14:paraId="51F4084F" w14:textId="77777777" w:rsidR="00625D0E" w:rsidRDefault="00625D0E" w:rsidP="00625D0E">
      <w:pPr>
        <w:pStyle w:val="Paragraphedeliste"/>
        <w:numPr>
          <w:ilvl w:val="0"/>
          <w:numId w:val="15"/>
        </w:numPr>
      </w:pPr>
      <w:r w:rsidRPr="00573DD2">
        <w:t>Benchmark : indice de référence. Il permet d’effectuer des comparaisons, en mesurant la performance d’un acteur ou d’un titre.</w:t>
      </w:r>
    </w:p>
    <w:p w14:paraId="69F53424" w14:textId="01232C95" w:rsidR="006A4A9D" w:rsidRDefault="006A4A9D" w:rsidP="006A4A9D">
      <w:pPr>
        <w:rPr>
          <w:rFonts w:asciiTheme="majorHAnsi" w:hAnsiTheme="majorHAnsi" w:cstheme="majorHAnsi"/>
          <w:sz w:val="56"/>
          <w:szCs w:val="56"/>
        </w:rPr>
      </w:pPr>
    </w:p>
    <w:p w14:paraId="3D71F61E" w14:textId="57FBBA42" w:rsidR="00625D0E" w:rsidRDefault="00625D0E" w:rsidP="006A4A9D">
      <w:pPr>
        <w:rPr>
          <w:rFonts w:asciiTheme="majorHAnsi" w:hAnsiTheme="majorHAnsi" w:cstheme="majorHAnsi"/>
          <w:sz w:val="56"/>
          <w:szCs w:val="56"/>
        </w:rPr>
      </w:pPr>
    </w:p>
    <w:p w14:paraId="6F2567B7" w14:textId="0908CD59" w:rsidR="00625D0E" w:rsidRDefault="00625D0E" w:rsidP="006A4A9D">
      <w:pPr>
        <w:rPr>
          <w:rFonts w:asciiTheme="majorHAnsi" w:hAnsiTheme="majorHAnsi" w:cstheme="majorHAnsi"/>
          <w:sz w:val="56"/>
          <w:szCs w:val="56"/>
        </w:rPr>
      </w:pPr>
    </w:p>
    <w:p w14:paraId="31BA782B" w14:textId="59A0E33C" w:rsidR="00625D0E" w:rsidRDefault="00625D0E" w:rsidP="006A4A9D">
      <w:pPr>
        <w:rPr>
          <w:rFonts w:asciiTheme="majorHAnsi" w:hAnsiTheme="majorHAnsi" w:cstheme="majorHAnsi"/>
          <w:sz w:val="56"/>
          <w:szCs w:val="56"/>
        </w:rPr>
      </w:pPr>
    </w:p>
    <w:p w14:paraId="0C3A57EE" w14:textId="354C04DA" w:rsidR="00625D0E" w:rsidRDefault="00625D0E" w:rsidP="006A4A9D">
      <w:pPr>
        <w:rPr>
          <w:rFonts w:asciiTheme="majorHAnsi" w:hAnsiTheme="majorHAnsi" w:cstheme="majorHAnsi"/>
          <w:sz w:val="56"/>
          <w:szCs w:val="56"/>
        </w:rPr>
      </w:pPr>
    </w:p>
    <w:p w14:paraId="4062EC4C" w14:textId="2E0FF5EE" w:rsidR="00625D0E" w:rsidRDefault="00625D0E" w:rsidP="006A4A9D">
      <w:pPr>
        <w:rPr>
          <w:rFonts w:asciiTheme="majorHAnsi" w:hAnsiTheme="majorHAnsi" w:cstheme="majorHAnsi"/>
          <w:sz w:val="56"/>
          <w:szCs w:val="56"/>
        </w:rPr>
      </w:pPr>
    </w:p>
    <w:p w14:paraId="355A6887" w14:textId="6868DE4E" w:rsidR="00625D0E" w:rsidRDefault="00625D0E" w:rsidP="006A4A9D">
      <w:pPr>
        <w:rPr>
          <w:rFonts w:asciiTheme="majorHAnsi" w:hAnsiTheme="majorHAnsi" w:cstheme="majorHAnsi"/>
          <w:sz w:val="56"/>
          <w:szCs w:val="56"/>
        </w:rPr>
      </w:pPr>
    </w:p>
    <w:p w14:paraId="1A253952" w14:textId="2114B03E" w:rsidR="00625D0E" w:rsidRDefault="00625D0E" w:rsidP="006A4A9D">
      <w:pPr>
        <w:rPr>
          <w:rFonts w:asciiTheme="majorHAnsi" w:hAnsiTheme="majorHAnsi" w:cstheme="majorHAnsi"/>
          <w:sz w:val="56"/>
          <w:szCs w:val="56"/>
        </w:rPr>
      </w:pPr>
    </w:p>
    <w:p w14:paraId="31BA0FDE" w14:textId="49FF8D37" w:rsidR="00625D0E" w:rsidRDefault="00625D0E" w:rsidP="006A4A9D">
      <w:pPr>
        <w:rPr>
          <w:rFonts w:asciiTheme="majorHAnsi" w:hAnsiTheme="majorHAnsi" w:cstheme="majorHAnsi"/>
          <w:sz w:val="56"/>
          <w:szCs w:val="56"/>
        </w:rPr>
      </w:pPr>
    </w:p>
    <w:p w14:paraId="6BD96174" w14:textId="0D7C7D41" w:rsidR="00625D0E" w:rsidRDefault="00625D0E" w:rsidP="006A4A9D">
      <w:pPr>
        <w:rPr>
          <w:rFonts w:asciiTheme="majorHAnsi" w:hAnsiTheme="majorHAnsi" w:cstheme="majorHAnsi"/>
          <w:sz w:val="56"/>
          <w:szCs w:val="56"/>
        </w:rPr>
      </w:pPr>
    </w:p>
    <w:p w14:paraId="335C02D3" w14:textId="565897CB" w:rsidR="00625D0E" w:rsidRDefault="00625D0E" w:rsidP="006A4A9D">
      <w:pPr>
        <w:rPr>
          <w:rFonts w:asciiTheme="majorHAnsi" w:hAnsiTheme="majorHAnsi" w:cstheme="majorHAnsi"/>
          <w:sz w:val="56"/>
          <w:szCs w:val="56"/>
        </w:rPr>
      </w:pPr>
    </w:p>
    <w:p w14:paraId="1FC43A10" w14:textId="77777777" w:rsidR="00625D0E" w:rsidRDefault="00625D0E" w:rsidP="006A4A9D">
      <w:pPr>
        <w:rPr>
          <w:rFonts w:asciiTheme="majorHAnsi" w:hAnsiTheme="majorHAnsi" w:cstheme="majorHAnsi"/>
          <w:sz w:val="56"/>
          <w:szCs w:val="56"/>
        </w:rPr>
      </w:pPr>
    </w:p>
    <w:p w14:paraId="7EDE34BF" w14:textId="77777777" w:rsidR="006A4A9D" w:rsidRDefault="006A4A9D" w:rsidP="006A4A9D">
      <w:pPr>
        <w:rPr>
          <w:rFonts w:asciiTheme="majorHAnsi" w:hAnsiTheme="majorHAnsi" w:cstheme="majorHAnsi"/>
          <w:sz w:val="56"/>
          <w:szCs w:val="56"/>
        </w:rPr>
      </w:pPr>
      <w:r>
        <w:rPr>
          <w:rFonts w:asciiTheme="majorHAnsi" w:hAnsiTheme="majorHAnsi" w:cstheme="majorHAnsi"/>
          <w:sz w:val="56"/>
          <w:szCs w:val="56"/>
        </w:rPr>
        <w:lastRenderedPageBreak/>
        <w:t>Travail à faire pour les 2 semaines suivantes :</w:t>
      </w:r>
    </w:p>
    <w:p w14:paraId="0497E0E0" w14:textId="124A8BA6" w:rsidR="006A4A9D" w:rsidRPr="00383E93" w:rsidRDefault="00383E93" w:rsidP="001F4F3F">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Etablir la liste des parcs éoliens en France ainsi que leur puissance et le nombre de turbines installées</w:t>
      </w:r>
    </w:p>
    <w:p w14:paraId="50DC2729" w14:textId="47DA4E6D" w:rsidR="00383E93" w:rsidRPr="004C63EC" w:rsidRDefault="004C63EC" w:rsidP="001F4F3F">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Faire un tableau des mix énergétiques des 12 pays du CEE</w:t>
      </w:r>
    </w:p>
    <w:p w14:paraId="1CFF8451" w14:textId="7FDC714B" w:rsidR="004C63EC" w:rsidRPr="003F45BA" w:rsidRDefault="00144D6A" w:rsidP="001F4F3F">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Lister tous les coûts associés au cycle de vie de l’énergie nucléaire (initial + maintenance/utilisation</w:t>
      </w:r>
      <w:r w:rsidR="003F45BA">
        <w:rPr>
          <w:rFonts w:asciiTheme="majorHAnsi" w:hAnsiTheme="majorHAnsi" w:cstheme="majorHAnsi"/>
          <w:sz w:val="24"/>
          <w:szCs w:val="24"/>
        </w:rPr>
        <w:t>/gestion des déchets</w:t>
      </w:r>
      <w:r>
        <w:rPr>
          <w:rFonts w:asciiTheme="majorHAnsi" w:hAnsiTheme="majorHAnsi" w:cstheme="majorHAnsi"/>
          <w:sz w:val="24"/>
          <w:szCs w:val="24"/>
        </w:rPr>
        <w:t xml:space="preserve"> + </w:t>
      </w:r>
      <w:r w:rsidR="003F45BA">
        <w:rPr>
          <w:rFonts w:asciiTheme="majorHAnsi" w:hAnsiTheme="majorHAnsi" w:cstheme="majorHAnsi"/>
          <w:sz w:val="24"/>
          <w:szCs w:val="24"/>
        </w:rPr>
        <w:t>démantèlement)</w:t>
      </w:r>
    </w:p>
    <w:p w14:paraId="46F356F6" w14:textId="2D5271AA" w:rsidR="003F45BA" w:rsidRPr="003F45BA" w:rsidRDefault="003F45BA" w:rsidP="001F4F3F">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 xml:space="preserve">Continuer les résumés des articles vus en mineur </w:t>
      </w:r>
    </w:p>
    <w:p w14:paraId="43F295AF" w14:textId="38DE5D8E" w:rsidR="003F45BA" w:rsidRPr="003F45BA" w:rsidRDefault="003F45BA" w:rsidP="003F45BA">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Continuer le tableau</w:t>
      </w:r>
    </w:p>
    <w:p w14:paraId="45B7D658" w14:textId="06DF5597" w:rsidR="003F45BA" w:rsidRPr="00AC1543" w:rsidRDefault="00AC1543" w:rsidP="003F45BA">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Rédaction de la synthèse</w:t>
      </w:r>
    </w:p>
    <w:p w14:paraId="40E3399A" w14:textId="07DB4483" w:rsidR="00AC1543" w:rsidRPr="003F45BA" w:rsidRDefault="00AC1543" w:rsidP="003F45BA">
      <w:pPr>
        <w:pStyle w:val="Paragraphedeliste"/>
        <w:numPr>
          <w:ilvl w:val="0"/>
          <w:numId w:val="3"/>
        </w:numPr>
        <w:rPr>
          <w:rFonts w:asciiTheme="majorHAnsi" w:hAnsiTheme="majorHAnsi" w:cstheme="majorHAnsi"/>
          <w:sz w:val="56"/>
          <w:szCs w:val="56"/>
        </w:rPr>
      </w:pPr>
      <w:r>
        <w:rPr>
          <w:rFonts w:asciiTheme="majorHAnsi" w:hAnsiTheme="majorHAnsi" w:cstheme="majorHAnsi"/>
          <w:sz w:val="24"/>
          <w:szCs w:val="24"/>
        </w:rPr>
        <w:t xml:space="preserve">Continuer l’exercice de machine </w:t>
      </w:r>
      <w:proofErr w:type="spellStart"/>
      <w:r>
        <w:rPr>
          <w:rFonts w:asciiTheme="majorHAnsi" w:hAnsiTheme="majorHAnsi" w:cstheme="majorHAnsi"/>
          <w:sz w:val="24"/>
          <w:szCs w:val="24"/>
        </w:rPr>
        <w:t>learning</w:t>
      </w:r>
      <w:proofErr w:type="spellEnd"/>
    </w:p>
    <w:p w14:paraId="34965229" w14:textId="77777777" w:rsidR="006A4A9D" w:rsidRPr="006A4A9D" w:rsidRDefault="006A4A9D" w:rsidP="00C835D8">
      <w:pPr>
        <w:jc w:val="center"/>
        <w:rPr>
          <w:rFonts w:asciiTheme="majorHAnsi" w:hAnsiTheme="majorHAnsi" w:cstheme="majorHAnsi"/>
          <w:sz w:val="56"/>
          <w:szCs w:val="56"/>
        </w:rPr>
      </w:pPr>
    </w:p>
    <w:sectPr w:rsidR="006A4A9D" w:rsidRPr="006A4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5C5"/>
    <w:multiLevelType w:val="multilevel"/>
    <w:tmpl w:val="F24015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B00EC"/>
    <w:multiLevelType w:val="multilevel"/>
    <w:tmpl w:val="F96C3E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730BB"/>
    <w:multiLevelType w:val="hybridMultilevel"/>
    <w:tmpl w:val="89FE7A26"/>
    <w:lvl w:ilvl="0" w:tplc="57049CF2">
      <w:numFmt w:val="bullet"/>
      <w:lvlText w:val="-"/>
      <w:lvlJc w:val="left"/>
      <w:pPr>
        <w:ind w:left="1068" w:hanging="360"/>
      </w:pPr>
      <w:rPr>
        <w:rFonts w:ascii="Calibri Light" w:eastAsiaTheme="minorHAnsi"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1D67D84"/>
    <w:multiLevelType w:val="hybridMultilevel"/>
    <w:tmpl w:val="4170CF3A"/>
    <w:lvl w:ilvl="0" w:tplc="7E54DE7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0636C2"/>
    <w:multiLevelType w:val="hybridMultilevel"/>
    <w:tmpl w:val="D89C5D40"/>
    <w:lvl w:ilvl="0" w:tplc="040C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545063E"/>
    <w:multiLevelType w:val="hybridMultilevel"/>
    <w:tmpl w:val="5740BF1A"/>
    <w:lvl w:ilvl="0" w:tplc="C18827B2">
      <w:start w:val="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10DD3"/>
    <w:multiLevelType w:val="hybridMultilevel"/>
    <w:tmpl w:val="9DEE1FA6"/>
    <w:lvl w:ilvl="0" w:tplc="2E8ACF4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4C46CA"/>
    <w:multiLevelType w:val="hybridMultilevel"/>
    <w:tmpl w:val="CF26741C"/>
    <w:lvl w:ilvl="0" w:tplc="6E7ACEE6">
      <w:start w:val="2"/>
      <w:numFmt w:val="bullet"/>
      <w:lvlText w:val="-"/>
      <w:lvlJc w:val="left"/>
      <w:pPr>
        <w:ind w:left="1440" w:hanging="360"/>
      </w:pPr>
      <w:rPr>
        <w:rFonts w:ascii="Calibri" w:eastAsiaTheme="minorHAnsi" w:hAnsi="Calibri" w:cs="Calibri" w:hint="default"/>
        <w:color w:val="auto"/>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13C0240"/>
    <w:multiLevelType w:val="hybridMultilevel"/>
    <w:tmpl w:val="A944FF94"/>
    <w:lvl w:ilvl="0" w:tplc="6BA638F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8D0704"/>
    <w:multiLevelType w:val="hybridMultilevel"/>
    <w:tmpl w:val="41188C58"/>
    <w:lvl w:ilvl="0" w:tplc="040C0001">
      <w:start w:val="1"/>
      <w:numFmt w:val="bullet"/>
      <w:lvlText w:val=""/>
      <w:lvlJc w:val="left"/>
      <w:pPr>
        <w:ind w:left="720" w:hanging="360"/>
      </w:pPr>
      <w:rPr>
        <w:rFonts w:ascii="Symbol" w:hAnsi="Symbol"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165B11"/>
    <w:multiLevelType w:val="hybridMultilevel"/>
    <w:tmpl w:val="972ACF1E"/>
    <w:lvl w:ilvl="0" w:tplc="4A981352">
      <w:start w:val="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397052"/>
    <w:multiLevelType w:val="hybridMultilevel"/>
    <w:tmpl w:val="5234F36C"/>
    <w:lvl w:ilvl="0" w:tplc="5922FB6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635A20"/>
    <w:multiLevelType w:val="hybridMultilevel"/>
    <w:tmpl w:val="8BC21444"/>
    <w:lvl w:ilvl="0" w:tplc="F0F0F032">
      <w:start w:val="2"/>
      <w:numFmt w:val="bullet"/>
      <w:lvlText w:val="-"/>
      <w:lvlJc w:val="left"/>
      <w:pPr>
        <w:ind w:left="927" w:hanging="360"/>
      </w:pPr>
      <w:rPr>
        <w:rFonts w:ascii="Calibri Light" w:eastAsiaTheme="minorHAnsi" w:hAnsi="Calibri Light" w:cs="Calibri Light"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44615F"/>
    <w:multiLevelType w:val="multilevel"/>
    <w:tmpl w:val="914694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B92EC2"/>
    <w:multiLevelType w:val="multilevel"/>
    <w:tmpl w:val="EEF0F9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82834601">
    <w:abstractNumId w:val="2"/>
  </w:num>
  <w:num w:numId="2" w16cid:durableId="1710492404">
    <w:abstractNumId w:val="4"/>
  </w:num>
  <w:num w:numId="3" w16cid:durableId="1524397419">
    <w:abstractNumId w:val="12"/>
  </w:num>
  <w:num w:numId="4" w16cid:durableId="319116701">
    <w:abstractNumId w:val="14"/>
  </w:num>
  <w:num w:numId="5" w16cid:durableId="705250034">
    <w:abstractNumId w:val="1"/>
  </w:num>
  <w:num w:numId="6" w16cid:durableId="1907953551">
    <w:abstractNumId w:val="0"/>
  </w:num>
  <w:num w:numId="7" w16cid:durableId="204101362">
    <w:abstractNumId w:val="13"/>
  </w:num>
  <w:num w:numId="8" w16cid:durableId="368144538">
    <w:abstractNumId w:val="5"/>
  </w:num>
  <w:num w:numId="9" w16cid:durableId="32198068">
    <w:abstractNumId w:val="8"/>
  </w:num>
  <w:num w:numId="10" w16cid:durableId="1919822250">
    <w:abstractNumId w:val="11"/>
  </w:num>
  <w:num w:numId="11" w16cid:durableId="1598559628">
    <w:abstractNumId w:val="3"/>
  </w:num>
  <w:num w:numId="12" w16cid:durableId="956833887">
    <w:abstractNumId w:val="6"/>
  </w:num>
  <w:num w:numId="13" w16cid:durableId="654188425">
    <w:abstractNumId w:val="10"/>
  </w:num>
  <w:num w:numId="14" w16cid:durableId="55325180">
    <w:abstractNumId w:val="7"/>
  </w:num>
  <w:num w:numId="15" w16cid:durableId="14071909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9"/>
    <w:rsid w:val="000A6606"/>
    <w:rsid w:val="000B02BA"/>
    <w:rsid w:val="00130B55"/>
    <w:rsid w:val="00144D6A"/>
    <w:rsid w:val="001B0C13"/>
    <w:rsid w:val="001C465D"/>
    <w:rsid w:val="001E0858"/>
    <w:rsid w:val="001E63B3"/>
    <w:rsid w:val="001F4F3F"/>
    <w:rsid w:val="00262F49"/>
    <w:rsid w:val="00381BC9"/>
    <w:rsid w:val="00383E93"/>
    <w:rsid w:val="0039636C"/>
    <w:rsid w:val="003F45BA"/>
    <w:rsid w:val="00402868"/>
    <w:rsid w:val="004453E3"/>
    <w:rsid w:val="0048170E"/>
    <w:rsid w:val="004C63EC"/>
    <w:rsid w:val="004D770B"/>
    <w:rsid w:val="0051757F"/>
    <w:rsid w:val="0052102F"/>
    <w:rsid w:val="005407A7"/>
    <w:rsid w:val="00562113"/>
    <w:rsid w:val="00625D0E"/>
    <w:rsid w:val="006641FE"/>
    <w:rsid w:val="006A4A9D"/>
    <w:rsid w:val="00722531"/>
    <w:rsid w:val="00760A5B"/>
    <w:rsid w:val="008C6D99"/>
    <w:rsid w:val="00994572"/>
    <w:rsid w:val="009D3C62"/>
    <w:rsid w:val="009E01A8"/>
    <w:rsid w:val="00AC1543"/>
    <w:rsid w:val="00C835D8"/>
    <w:rsid w:val="00CD314B"/>
    <w:rsid w:val="00DD5234"/>
    <w:rsid w:val="00E541E4"/>
    <w:rsid w:val="00E873CD"/>
    <w:rsid w:val="00ED3BC8"/>
    <w:rsid w:val="00F67D81"/>
    <w:rsid w:val="00F74477"/>
    <w:rsid w:val="00FD6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9C05"/>
  <w15:docId w15:val="{42769436-3AAB-49DA-A4CC-476B8725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D99"/>
    <w:pPr>
      <w:ind w:left="720"/>
      <w:contextualSpacing/>
    </w:pPr>
  </w:style>
  <w:style w:type="paragraph" w:customStyle="1" w:styleId="paragraph">
    <w:name w:val="paragraph"/>
    <w:basedOn w:val="Normal"/>
    <w:rsid w:val="00130B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130B55"/>
  </w:style>
  <w:style w:type="character" w:customStyle="1" w:styleId="eop">
    <w:name w:val="eop"/>
    <w:basedOn w:val="Policepardfaut"/>
    <w:rsid w:val="0013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5689">
      <w:bodyDiv w:val="1"/>
      <w:marLeft w:val="0"/>
      <w:marRight w:val="0"/>
      <w:marTop w:val="0"/>
      <w:marBottom w:val="0"/>
      <w:divBdr>
        <w:top w:val="none" w:sz="0" w:space="0" w:color="auto"/>
        <w:left w:val="none" w:sz="0" w:space="0" w:color="auto"/>
        <w:bottom w:val="none" w:sz="0" w:space="0" w:color="auto"/>
        <w:right w:val="none" w:sz="0" w:space="0" w:color="auto"/>
      </w:divBdr>
      <w:divsChild>
        <w:div w:id="759761407">
          <w:marLeft w:val="0"/>
          <w:marRight w:val="0"/>
          <w:marTop w:val="0"/>
          <w:marBottom w:val="0"/>
          <w:divBdr>
            <w:top w:val="none" w:sz="0" w:space="0" w:color="auto"/>
            <w:left w:val="none" w:sz="0" w:space="0" w:color="auto"/>
            <w:bottom w:val="none" w:sz="0" w:space="0" w:color="auto"/>
            <w:right w:val="none" w:sz="0" w:space="0" w:color="auto"/>
          </w:divBdr>
          <w:divsChild>
            <w:div w:id="354699389">
              <w:marLeft w:val="0"/>
              <w:marRight w:val="0"/>
              <w:marTop w:val="0"/>
              <w:marBottom w:val="0"/>
              <w:divBdr>
                <w:top w:val="none" w:sz="0" w:space="0" w:color="auto"/>
                <w:left w:val="none" w:sz="0" w:space="0" w:color="auto"/>
                <w:bottom w:val="none" w:sz="0" w:space="0" w:color="auto"/>
                <w:right w:val="none" w:sz="0" w:space="0" w:color="auto"/>
              </w:divBdr>
            </w:div>
            <w:div w:id="480537785">
              <w:marLeft w:val="0"/>
              <w:marRight w:val="0"/>
              <w:marTop w:val="0"/>
              <w:marBottom w:val="0"/>
              <w:divBdr>
                <w:top w:val="none" w:sz="0" w:space="0" w:color="auto"/>
                <w:left w:val="none" w:sz="0" w:space="0" w:color="auto"/>
                <w:bottom w:val="none" w:sz="0" w:space="0" w:color="auto"/>
                <w:right w:val="none" w:sz="0" w:space="0" w:color="auto"/>
              </w:divBdr>
            </w:div>
            <w:div w:id="501971611">
              <w:marLeft w:val="0"/>
              <w:marRight w:val="0"/>
              <w:marTop w:val="0"/>
              <w:marBottom w:val="0"/>
              <w:divBdr>
                <w:top w:val="none" w:sz="0" w:space="0" w:color="auto"/>
                <w:left w:val="none" w:sz="0" w:space="0" w:color="auto"/>
                <w:bottom w:val="none" w:sz="0" w:space="0" w:color="auto"/>
                <w:right w:val="none" w:sz="0" w:space="0" w:color="auto"/>
              </w:divBdr>
            </w:div>
            <w:div w:id="1031419010">
              <w:marLeft w:val="0"/>
              <w:marRight w:val="0"/>
              <w:marTop w:val="0"/>
              <w:marBottom w:val="0"/>
              <w:divBdr>
                <w:top w:val="none" w:sz="0" w:space="0" w:color="auto"/>
                <w:left w:val="none" w:sz="0" w:space="0" w:color="auto"/>
                <w:bottom w:val="none" w:sz="0" w:space="0" w:color="auto"/>
                <w:right w:val="none" w:sz="0" w:space="0" w:color="auto"/>
              </w:divBdr>
            </w:div>
            <w:div w:id="1942178179">
              <w:marLeft w:val="0"/>
              <w:marRight w:val="0"/>
              <w:marTop w:val="0"/>
              <w:marBottom w:val="0"/>
              <w:divBdr>
                <w:top w:val="none" w:sz="0" w:space="0" w:color="auto"/>
                <w:left w:val="none" w:sz="0" w:space="0" w:color="auto"/>
                <w:bottom w:val="none" w:sz="0" w:space="0" w:color="auto"/>
                <w:right w:val="none" w:sz="0" w:space="0" w:color="auto"/>
              </w:divBdr>
            </w:div>
          </w:divsChild>
        </w:div>
        <w:div w:id="1902666472">
          <w:marLeft w:val="0"/>
          <w:marRight w:val="0"/>
          <w:marTop w:val="0"/>
          <w:marBottom w:val="0"/>
          <w:divBdr>
            <w:top w:val="none" w:sz="0" w:space="0" w:color="auto"/>
            <w:left w:val="none" w:sz="0" w:space="0" w:color="auto"/>
            <w:bottom w:val="none" w:sz="0" w:space="0" w:color="auto"/>
            <w:right w:val="none" w:sz="0" w:space="0" w:color="auto"/>
          </w:divBdr>
          <w:divsChild>
            <w:div w:id="39019176">
              <w:marLeft w:val="0"/>
              <w:marRight w:val="0"/>
              <w:marTop w:val="0"/>
              <w:marBottom w:val="0"/>
              <w:divBdr>
                <w:top w:val="none" w:sz="0" w:space="0" w:color="auto"/>
                <w:left w:val="none" w:sz="0" w:space="0" w:color="auto"/>
                <w:bottom w:val="none" w:sz="0" w:space="0" w:color="auto"/>
                <w:right w:val="none" w:sz="0" w:space="0" w:color="auto"/>
              </w:divBdr>
            </w:div>
            <w:div w:id="1573466455">
              <w:marLeft w:val="0"/>
              <w:marRight w:val="0"/>
              <w:marTop w:val="0"/>
              <w:marBottom w:val="0"/>
              <w:divBdr>
                <w:top w:val="none" w:sz="0" w:space="0" w:color="auto"/>
                <w:left w:val="none" w:sz="0" w:space="0" w:color="auto"/>
                <w:bottom w:val="none" w:sz="0" w:space="0" w:color="auto"/>
                <w:right w:val="none" w:sz="0" w:space="0" w:color="auto"/>
              </w:divBdr>
            </w:div>
            <w:div w:id="1952468990">
              <w:marLeft w:val="0"/>
              <w:marRight w:val="0"/>
              <w:marTop w:val="0"/>
              <w:marBottom w:val="0"/>
              <w:divBdr>
                <w:top w:val="none" w:sz="0" w:space="0" w:color="auto"/>
                <w:left w:val="none" w:sz="0" w:space="0" w:color="auto"/>
                <w:bottom w:val="none" w:sz="0" w:space="0" w:color="auto"/>
                <w:right w:val="none" w:sz="0" w:space="0" w:color="auto"/>
              </w:divBdr>
            </w:div>
          </w:divsChild>
        </w:div>
        <w:div w:id="1915777212">
          <w:marLeft w:val="0"/>
          <w:marRight w:val="0"/>
          <w:marTop w:val="0"/>
          <w:marBottom w:val="0"/>
          <w:divBdr>
            <w:top w:val="none" w:sz="0" w:space="0" w:color="auto"/>
            <w:left w:val="none" w:sz="0" w:space="0" w:color="auto"/>
            <w:bottom w:val="none" w:sz="0" w:space="0" w:color="auto"/>
            <w:right w:val="none" w:sz="0" w:space="0" w:color="auto"/>
          </w:divBdr>
          <w:divsChild>
            <w:div w:id="96561249">
              <w:marLeft w:val="0"/>
              <w:marRight w:val="0"/>
              <w:marTop w:val="0"/>
              <w:marBottom w:val="0"/>
              <w:divBdr>
                <w:top w:val="none" w:sz="0" w:space="0" w:color="auto"/>
                <w:left w:val="none" w:sz="0" w:space="0" w:color="auto"/>
                <w:bottom w:val="none" w:sz="0" w:space="0" w:color="auto"/>
                <w:right w:val="none" w:sz="0" w:space="0" w:color="auto"/>
              </w:divBdr>
            </w:div>
            <w:div w:id="187067685">
              <w:marLeft w:val="0"/>
              <w:marRight w:val="0"/>
              <w:marTop w:val="0"/>
              <w:marBottom w:val="0"/>
              <w:divBdr>
                <w:top w:val="none" w:sz="0" w:space="0" w:color="auto"/>
                <w:left w:val="none" w:sz="0" w:space="0" w:color="auto"/>
                <w:bottom w:val="none" w:sz="0" w:space="0" w:color="auto"/>
                <w:right w:val="none" w:sz="0" w:space="0" w:color="auto"/>
              </w:divBdr>
            </w:div>
            <w:div w:id="1055154229">
              <w:marLeft w:val="0"/>
              <w:marRight w:val="0"/>
              <w:marTop w:val="0"/>
              <w:marBottom w:val="0"/>
              <w:divBdr>
                <w:top w:val="none" w:sz="0" w:space="0" w:color="auto"/>
                <w:left w:val="none" w:sz="0" w:space="0" w:color="auto"/>
                <w:bottom w:val="none" w:sz="0" w:space="0" w:color="auto"/>
                <w:right w:val="none" w:sz="0" w:space="0" w:color="auto"/>
              </w:divBdr>
            </w:div>
            <w:div w:id="14687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D5102346AD64398DD383458ECCBE9" ma:contentTypeVersion="9" ma:contentTypeDescription="Crée un document." ma:contentTypeScope="" ma:versionID="d69a909646f6593d9d5686f5b2e628d6">
  <xsd:schema xmlns:xsd="http://www.w3.org/2001/XMLSchema" xmlns:xs="http://www.w3.org/2001/XMLSchema" xmlns:p="http://schemas.microsoft.com/office/2006/metadata/properties" xmlns:ns3="09d562cd-ef31-47bd-8907-3751e9f94f1b" xmlns:ns4="d5b902c9-5fae-44d3-b86d-c7dc1be6810a" targetNamespace="http://schemas.microsoft.com/office/2006/metadata/properties" ma:root="true" ma:fieldsID="b4152873f111a063981d69262024dc3f" ns3:_="" ns4:_="">
    <xsd:import namespace="09d562cd-ef31-47bd-8907-3751e9f94f1b"/>
    <xsd:import namespace="d5b902c9-5fae-44d3-b86d-c7dc1be681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562cd-ef31-47bd-8907-3751e9f9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b902c9-5fae-44d3-b86d-c7dc1be6810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698001-A61E-464E-9FAD-8ED3FB2E6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562cd-ef31-47bd-8907-3751e9f94f1b"/>
    <ds:schemaRef ds:uri="d5b902c9-5fae-44d3-b86d-c7dc1be68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DA98A8-23D4-4E8E-AD1F-08D7142A522D}">
  <ds:schemaRefs>
    <ds:schemaRef ds:uri="http://schemas.microsoft.com/sharepoint/v3/contenttype/forms"/>
  </ds:schemaRefs>
</ds:datastoreItem>
</file>

<file path=customXml/itemProps3.xml><?xml version="1.0" encoding="utf-8"?>
<ds:datastoreItem xmlns:ds="http://schemas.openxmlformats.org/officeDocument/2006/customXml" ds:itemID="{F8C9B180-0ED2-4867-821D-E37540996C88}">
  <ds:schemaRefs>
    <ds:schemaRef ds:uri="http://www.w3.org/XML/1998/namespace"/>
    <ds:schemaRef ds:uri="http://purl.org/dc/dcmitype/"/>
    <ds:schemaRef ds:uri="http://schemas.microsoft.com/office/2006/metadata/properties"/>
    <ds:schemaRef ds:uri="http://schemas.microsoft.com/office/2006/documentManagement/types"/>
    <ds:schemaRef ds:uri="09d562cd-ef31-47bd-8907-3751e9f94f1b"/>
    <ds:schemaRef ds:uri="http://schemas.microsoft.com/office/infopath/2007/PartnerControls"/>
    <ds:schemaRef ds:uri="http://purl.org/dc/terms/"/>
    <ds:schemaRef ds:uri="http://schemas.openxmlformats.org/package/2006/metadata/core-properties"/>
    <ds:schemaRef ds:uri="d5b902c9-5fae-44d3-b86d-c7dc1be6810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2101</Words>
  <Characters>11558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baccar</dc:creator>
  <cp:keywords/>
  <dc:description/>
  <cp:lastModifiedBy>aicha baccar</cp:lastModifiedBy>
  <cp:revision>2</cp:revision>
  <dcterms:created xsi:type="dcterms:W3CDTF">2022-06-15T12:01:00Z</dcterms:created>
  <dcterms:modified xsi:type="dcterms:W3CDTF">2022-06-15T12:01:00Z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0x010100224D5102346AD64398DD383458ECCBE9</vt:lpwstr>
  </property>
</Properties>
</file>