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DD473" w14:textId="77777777" w:rsidR="00C00237" w:rsidRPr="0024604C" w:rsidRDefault="00000000">
      <w:pPr>
        <w:pStyle w:val="Titre2"/>
        <w:rPr>
          <w:rFonts w:ascii="Century Gothic" w:hAnsi="Century Gothic"/>
          <w:b/>
          <w:bCs/>
        </w:rPr>
      </w:pPr>
      <w:bookmarkStart w:id="0" w:name="Xe0a425abb8260575655b1e918cc316e489c865c"/>
      <w:r w:rsidRPr="0024604C">
        <w:rPr>
          <w:rFonts w:ascii="Century Gothic" w:hAnsi="Century Gothic"/>
          <w:b/>
          <w:bCs/>
        </w:rPr>
        <w:t>Projet : Analyse statistique du décrochage scolaire dans une commune rurale de Guinée</w:t>
      </w:r>
    </w:p>
    <w:p w14:paraId="147C192B" w14:textId="77777777" w:rsidR="00C00237" w:rsidRPr="0024604C" w:rsidRDefault="00000000">
      <w:pPr>
        <w:pStyle w:val="Titre3"/>
        <w:rPr>
          <w:rFonts w:ascii="Century Gothic" w:hAnsi="Century Gothic"/>
        </w:rPr>
      </w:pPr>
      <w:bookmarkStart w:id="1" w:name="problème-sociétal"/>
      <w:r w:rsidRPr="0024604C">
        <w:rPr>
          <w:rFonts w:ascii="Century Gothic" w:hAnsi="Century Gothic"/>
        </w:rPr>
        <w:t>1. Problème sociétal</w:t>
      </w:r>
    </w:p>
    <w:p w14:paraId="2769D496" w14:textId="4EAFE4C5" w:rsidR="00C00237" w:rsidRPr="0024604C" w:rsidRDefault="00000000" w:rsidP="0024604C">
      <w:pPr>
        <w:pStyle w:val="FirstParagraph"/>
        <w:spacing w:line="360" w:lineRule="auto"/>
        <w:jc w:val="both"/>
        <w:rPr>
          <w:rFonts w:ascii="Century Gothic" w:hAnsi="Century Gothic"/>
        </w:rPr>
      </w:pPr>
      <w:r w:rsidRPr="0024604C">
        <w:rPr>
          <w:rFonts w:ascii="Century Gothic" w:hAnsi="Century Gothic"/>
        </w:rPr>
        <w:t>Dans de nombreuses communes rurales de Guinée, un grand nombre d’enfants et d’adolescents abandonnent l’école avant d’achever le cycle primaire ou le collège. Ce phénomène, souvent lié à la pauvreté, au mariage précoce, ou au manque d’infrastructures, a un impact direct sur l’avenir économique et social de la communauté.</w:t>
      </w:r>
    </w:p>
    <w:p w14:paraId="220D4A8C" w14:textId="77777777" w:rsidR="00C00237" w:rsidRPr="0024604C" w:rsidRDefault="00000000">
      <w:pPr>
        <w:pStyle w:val="Titre3"/>
        <w:rPr>
          <w:rFonts w:ascii="Century Gothic" w:hAnsi="Century Gothic"/>
        </w:rPr>
      </w:pPr>
      <w:bookmarkStart w:id="2" w:name="objectif-général"/>
      <w:bookmarkEnd w:id="1"/>
      <w:r w:rsidRPr="0024604C">
        <w:rPr>
          <w:rFonts w:ascii="Century Gothic" w:hAnsi="Century Gothic"/>
        </w:rPr>
        <w:t>2. Objectif général</w:t>
      </w:r>
    </w:p>
    <w:p w14:paraId="3A548CBB" w14:textId="45D833DE" w:rsidR="00C00237" w:rsidRPr="0024604C" w:rsidRDefault="00000000" w:rsidP="0024604C">
      <w:pPr>
        <w:pStyle w:val="FirstParagraph"/>
        <w:spacing w:line="360" w:lineRule="auto"/>
        <w:jc w:val="both"/>
        <w:rPr>
          <w:rFonts w:ascii="Century Gothic" w:hAnsi="Century Gothic"/>
        </w:rPr>
      </w:pPr>
      <w:r w:rsidRPr="0024604C">
        <w:rPr>
          <w:rFonts w:ascii="Century Gothic" w:hAnsi="Century Gothic"/>
        </w:rPr>
        <w:t>Évaluer l’ampleur et les causes du décrochage scolaire dans une commune ciblée, afin de fournir aux autorités locales et aux ONG des données fiables pour orienter les interventions.</w:t>
      </w:r>
    </w:p>
    <w:p w14:paraId="58A7B806" w14:textId="77777777" w:rsidR="00C00237" w:rsidRPr="0024604C" w:rsidRDefault="00000000">
      <w:pPr>
        <w:pStyle w:val="Titre3"/>
        <w:rPr>
          <w:rFonts w:ascii="Century Gothic" w:hAnsi="Century Gothic"/>
        </w:rPr>
      </w:pPr>
      <w:bookmarkStart w:id="3" w:name="objectifs-spécifiques"/>
      <w:bookmarkEnd w:id="2"/>
      <w:r w:rsidRPr="0024604C">
        <w:rPr>
          <w:rFonts w:ascii="Century Gothic" w:hAnsi="Century Gothic"/>
        </w:rPr>
        <w:t>3. Objectifs spécifiques</w:t>
      </w:r>
    </w:p>
    <w:p w14:paraId="354BB312" w14:textId="77777777" w:rsidR="00C00237" w:rsidRPr="0024604C" w:rsidRDefault="00000000" w:rsidP="0024604C">
      <w:pPr>
        <w:pStyle w:val="Compact"/>
        <w:numPr>
          <w:ilvl w:val="0"/>
          <w:numId w:val="2"/>
        </w:numPr>
        <w:spacing w:before="100" w:beforeAutospacing="1" w:after="100" w:afterAutospacing="1"/>
        <w:ind w:left="714" w:hanging="357"/>
        <w:rPr>
          <w:rFonts w:ascii="Century Gothic" w:hAnsi="Century Gothic"/>
        </w:rPr>
      </w:pPr>
      <w:r w:rsidRPr="0024604C">
        <w:rPr>
          <w:rFonts w:ascii="Century Gothic" w:hAnsi="Century Gothic"/>
        </w:rPr>
        <w:t xml:space="preserve">Mesurer le </w:t>
      </w:r>
      <w:r w:rsidRPr="0024604C">
        <w:rPr>
          <w:rFonts w:ascii="Century Gothic" w:hAnsi="Century Gothic"/>
          <w:b/>
          <w:bCs/>
        </w:rPr>
        <w:t>taux de décrochage scolaire</w:t>
      </w:r>
      <w:r w:rsidRPr="0024604C">
        <w:rPr>
          <w:rFonts w:ascii="Century Gothic" w:hAnsi="Century Gothic"/>
        </w:rPr>
        <w:t xml:space="preserve"> par sexe et tranche d’âge.</w:t>
      </w:r>
      <w:r w:rsidRPr="0024604C">
        <w:rPr>
          <w:rFonts w:ascii="Century Gothic" w:hAnsi="Century Gothic"/>
        </w:rPr>
        <w:br/>
      </w:r>
    </w:p>
    <w:p w14:paraId="34217ACD" w14:textId="77777777" w:rsidR="00C00237" w:rsidRPr="0024604C" w:rsidRDefault="00000000" w:rsidP="0024604C">
      <w:pPr>
        <w:pStyle w:val="Compact"/>
        <w:numPr>
          <w:ilvl w:val="0"/>
          <w:numId w:val="2"/>
        </w:numPr>
        <w:spacing w:before="100" w:beforeAutospacing="1" w:after="100" w:afterAutospacing="1"/>
        <w:ind w:left="714" w:hanging="357"/>
        <w:rPr>
          <w:rFonts w:ascii="Century Gothic" w:hAnsi="Century Gothic"/>
        </w:rPr>
      </w:pPr>
      <w:r w:rsidRPr="0024604C">
        <w:rPr>
          <w:rFonts w:ascii="Century Gothic" w:hAnsi="Century Gothic"/>
        </w:rPr>
        <w:t xml:space="preserve">Identifier les </w:t>
      </w:r>
      <w:r w:rsidRPr="0024604C">
        <w:rPr>
          <w:rFonts w:ascii="Century Gothic" w:hAnsi="Century Gothic"/>
          <w:b/>
          <w:bCs/>
        </w:rPr>
        <w:t>principales causes</w:t>
      </w:r>
      <w:r w:rsidRPr="0024604C">
        <w:rPr>
          <w:rFonts w:ascii="Century Gothic" w:hAnsi="Century Gothic"/>
        </w:rPr>
        <w:t xml:space="preserve"> de l’abandon scolaire.</w:t>
      </w:r>
      <w:r w:rsidRPr="0024604C">
        <w:rPr>
          <w:rFonts w:ascii="Century Gothic" w:hAnsi="Century Gothic"/>
        </w:rPr>
        <w:br/>
      </w:r>
    </w:p>
    <w:p w14:paraId="0370EC55" w14:textId="77777777" w:rsidR="00C00237" w:rsidRPr="0024604C" w:rsidRDefault="00000000" w:rsidP="0024604C">
      <w:pPr>
        <w:pStyle w:val="Compact"/>
        <w:numPr>
          <w:ilvl w:val="0"/>
          <w:numId w:val="2"/>
        </w:numPr>
        <w:spacing w:before="100" w:beforeAutospacing="1" w:after="100" w:afterAutospacing="1"/>
        <w:ind w:left="714" w:hanging="357"/>
        <w:jc w:val="both"/>
        <w:rPr>
          <w:rFonts w:ascii="Century Gothic" w:hAnsi="Century Gothic"/>
        </w:rPr>
      </w:pPr>
      <w:r w:rsidRPr="0024604C">
        <w:rPr>
          <w:rFonts w:ascii="Century Gothic" w:hAnsi="Century Gothic"/>
        </w:rPr>
        <w:t>Comparer les données entre différents quartiers ou villages de la commune.</w:t>
      </w:r>
      <w:r w:rsidRPr="0024604C">
        <w:rPr>
          <w:rFonts w:ascii="Century Gothic" w:hAnsi="Century Gothic"/>
        </w:rPr>
        <w:br/>
      </w:r>
    </w:p>
    <w:p w14:paraId="612521FC" w14:textId="2497F6A6" w:rsidR="00C00237" w:rsidRPr="0024604C" w:rsidRDefault="00000000" w:rsidP="0024604C">
      <w:pPr>
        <w:pStyle w:val="Compact"/>
        <w:numPr>
          <w:ilvl w:val="0"/>
          <w:numId w:val="2"/>
        </w:numPr>
        <w:spacing w:before="100" w:beforeAutospacing="1" w:after="100" w:afterAutospacing="1"/>
        <w:ind w:left="714" w:hanging="357"/>
        <w:rPr>
          <w:rFonts w:ascii="Century Gothic" w:hAnsi="Century Gothic"/>
        </w:rPr>
      </w:pPr>
      <w:r w:rsidRPr="0024604C">
        <w:rPr>
          <w:rFonts w:ascii="Century Gothic" w:hAnsi="Century Gothic"/>
        </w:rPr>
        <w:t xml:space="preserve">Proposer des </w:t>
      </w:r>
      <w:r w:rsidRPr="0024604C">
        <w:rPr>
          <w:rFonts w:ascii="Century Gothic" w:hAnsi="Century Gothic"/>
          <w:b/>
          <w:bCs/>
        </w:rPr>
        <w:t>solutions adaptées</w:t>
      </w:r>
      <w:r w:rsidRPr="0024604C">
        <w:rPr>
          <w:rFonts w:ascii="Century Gothic" w:hAnsi="Century Gothic"/>
        </w:rPr>
        <w:t xml:space="preserve"> et chiffrées.</w:t>
      </w:r>
    </w:p>
    <w:p w14:paraId="6895B6DB" w14:textId="77777777" w:rsidR="00C00237" w:rsidRPr="0024604C" w:rsidRDefault="00000000">
      <w:pPr>
        <w:pStyle w:val="Titre3"/>
        <w:rPr>
          <w:rFonts w:ascii="Century Gothic" w:hAnsi="Century Gothic"/>
        </w:rPr>
      </w:pPr>
      <w:bookmarkStart w:id="4" w:name="méthodologie"/>
      <w:bookmarkEnd w:id="3"/>
      <w:r w:rsidRPr="0024604C">
        <w:rPr>
          <w:rFonts w:ascii="Century Gothic" w:hAnsi="Century Gothic"/>
        </w:rPr>
        <w:t>4. Méthodologie</w:t>
      </w:r>
    </w:p>
    <w:p w14:paraId="2BF0C44A" w14:textId="77777777" w:rsidR="0024604C" w:rsidRDefault="00000000" w:rsidP="0024604C">
      <w:pPr>
        <w:pStyle w:val="FirstParagraph"/>
        <w:numPr>
          <w:ilvl w:val="0"/>
          <w:numId w:val="4"/>
        </w:numPr>
        <w:rPr>
          <w:rFonts w:ascii="Century Gothic" w:hAnsi="Century Gothic"/>
        </w:rPr>
      </w:pPr>
      <w:r w:rsidRPr="0024604C">
        <w:rPr>
          <w:rFonts w:ascii="Century Gothic" w:hAnsi="Century Gothic"/>
          <w:b/>
          <w:bCs/>
        </w:rPr>
        <w:t>Population cible</w:t>
      </w:r>
      <w:r w:rsidRPr="0024604C">
        <w:rPr>
          <w:rFonts w:ascii="Century Gothic" w:hAnsi="Century Gothic"/>
        </w:rPr>
        <w:t xml:space="preserve"> : </w:t>
      </w:r>
    </w:p>
    <w:p w14:paraId="66D21B86" w14:textId="14890160" w:rsidR="0024604C" w:rsidRDefault="003230C7" w:rsidP="0024604C">
      <w:pPr>
        <w:pStyle w:val="FirstParagraph"/>
        <w:rPr>
          <w:rFonts w:ascii="Century Gothic" w:hAnsi="Century Gothic"/>
        </w:rPr>
      </w:pPr>
      <w:r w:rsidRPr="0024604C">
        <w:rPr>
          <w:rFonts w:ascii="Century Gothic" w:hAnsi="Century Gothic"/>
        </w:rPr>
        <w:t>Élèves</w:t>
      </w:r>
      <w:r w:rsidR="00000000" w:rsidRPr="0024604C">
        <w:rPr>
          <w:rFonts w:ascii="Century Gothic" w:hAnsi="Century Gothic"/>
        </w:rPr>
        <w:t>, parents, enseignants, chefs de quartier/village.</w:t>
      </w:r>
    </w:p>
    <w:p w14:paraId="2237899E" w14:textId="2576C670" w:rsidR="0024604C" w:rsidRDefault="00000000" w:rsidP="0024604C">
      <w:pPr>
        <w:pStyle w:val="FirstParagraph"/>
        <w:numPr>
          <w:ilvl w:val="0"/>
          <w:numId w:val="4"/>
        </w:numPr>
        <w:rPr>
          <w:rFonts w:ascii="Century Gothic" w:hAnsi="Century Gothic"/>
        </w:rPr>
      </w:pPr>
      <w:r w:rsidRPr="0024604C">
        <w:rPr>
          <w:rFonts w:ascii="Century Gothic" w:hAnsi="Century Gothic"/>
          <w:b/>
          <w:bCs/>
        </w:rPr>
        <w:t>Outils de collecte</w:t>
      </w:r>
      <w:r w:rsidRPr="0024604C">
        <w:rPr>
          <w:rFonts w:ascii="Century Gothic" w:hAnsi="Century Gothic"/>
        </w:rPr>
        <w:t xml:space="preserve"> :</w:t>
      </w:r>
    </w:p>
    <w:p w14:paraId="7C69A830" w14:textId="7C662EFF" w:rsidR="0024604C" w:rsidRPr="0024604C" w:rsidRDefault="00000000" w:rsidP="0024604C">
      <w:pPr>
        <w:pStyle w:val="FirstParagraph"/>
        <w:spacing w:line="360" w:lineRule="auto"/>
        <w:rPr>
          <w:rFonts w:ascii="Century Gothic" w:hAnsi="Century Gothic"/>
        </w:rPr>
      </w:pPr>
      <w:r w:rsidRPr="0024604C">
        <w:rPr>
          <w:rFonts w:ascii="Century Gothic" w:hAnsi="Century Gothic"/>
        </w:rPr>
        <w:t xml:space="preserve"> - Questionnaire papier ou Google Forms.</w:t>
      </w:r>
      <w:r w:rsidRPr="0024604C">
        <w:rPr>
          <w:rFonts w:ascii="Century Gothic" w:hAnsi="Century Gothic"/>
        </w:rPr>
        <w:br/>
      </w:r>
      <w:r w:rsidR="0024604C">
        <w:rPr>
          <w:rFonts w:ascii="Century Gothic" w:hAnsi="Century Gothic"/>
        </w:rPr>
        <w:t xml:space="preserve"> </w:t>
      </w:r>
      <w:r w:rsidRPr="0024604C">
        <w:rPr>
          <w:rFonts w:ascii="Century Gothic" w:hAnsi="Century Gothic"/>
        </w:rPr>
        <w:t>- Entretiens semi-directifs.</w:t>
      </w:r>
    </w:p>
    <w:p w14:paraId="73BDC486" w14:textId="2E99CC6F" w:rsidR="0024604C" w:rsidRDefault="00000000" w:rsidP="0024604C">
      <w:pPr>
        <w:pStyle w:val="Corpsdetexte"/>
        <w:numPr>
          <w:ilvl w:val="0"/>
          <w:numId w:val="4"/>
        </w:numPr>
        <w:rPr>
          <w:rFonts w:ascii="Century Gothic" w:hAnsi="Century Gothic"/>
        </w:rPr>
      </w:pPr>
      <w:r w:rsidRPr="0024604C">
        <w:rPr>
          <w:rFonts w:ascii="Century Gothic" w:hAnsi="Century Gothic"/>
          <w:b/>
          <w:bCs/>
        </w:rPr>
        <w:t xml:space="preserve">Variables à </w:t>
      </w:r>
      <w:r w:rsidR="003230C7" w:rsidRPr="0024604C">
        <w:rPr>
          <w:rFonts w:ascii="Century Gothic" w:hAnsi="Century Gothic"/>
          <w:b/>
          <w:bCs/>
        </w:rPr>
        <w:t>collecter</w:t>
      </w:r>
      <w:r w:rsidR="003230C7" w:rsidRPr="0024604C">
        <w:rPr>
          <w:rFonts w:ascii="Century Gothic" w:hAnsi="Century Gothic"/>
        </w:rPr>
        <w:t xml:space="preserve"> :</w:t>
      </w:r>
    </w:p>
    <w:p w14:paraId="35A80A0F" w14:textId="2E078150" w:rsidR="00C00237" w:rsidRPr="0024604C" w:rsidRDefault="00000000" w:rsidP="0024604C">
      <w:pPr>
        <w:pStyle w:val="Corpsdetexte"/>
        <w:spacing w:line="360" w:lineRule="auto"/>
        <w:rPr>
          <w:rFonts w:ascii="Century Gothic" w:hAnsi="Century Gothic"/>
        </w:rPr>
      </w:pPr>
      <w:r w:rsidRPr="0024604C">
        <w:rPr>
          <w:rFonts w:ascii="Century Gothic" w:hAnsi="Century Gothic"/>
        </w:rPr>
        <w:lastRenderedPageBreak/>
        <w:t xml:space="preserve"> - Âge, sexe, niveau scolaire atteint.</w:t>
      </w:r>
      <w:r w:rsidRPr="0024604C">
        <w:rPr>
          <w:rFonts w:ascii="Century Gothic" w:hAnsi="Century Gothic"/>
        </w:rPr>
        <w:br/>
      </w:r>
      <w:r w:rsidR="0024604C">
        <w:rPr>
          <w:rFonts w:ascii="Century Gothic" w:hAnsi="Century Gothic"/>
        </w:rPr>
        <w:t xml:space="preserve"> </w:t>
      </w:r>
      <w:r w:rsidRPr="0024604C">
        <w:rPr>
          <w:rFonts w:ascii="Century Gothic" w:hAnsi="Century Gothic"/>
        </w:rPr>
        <w:t>- Situation économique de la famille.</w:t>
      </w:r>
      <w:r w:rsidRPr="0024604C">
        <w:rPr>
          <w:rFonts w:ascii="Century Gothic" w:hAnsi="Century Gothic"/>
        </w:rPr>
        <w:br/>
        <w:t>- Distance domicile-école.</w:t>
      </w:r>
      <w:r w:rsidRPr="0024604C">
        <w:rPr>
          <w:rFonts w:ascii="Century Gothic" w:hAnsi="Century Gothic"/>
        </w:rPr>
        <w:br/>
        <w:t>- Raisons de l’abandon (travail, mariage, santé, coût, etc.).</w:t>
      </w:r>
    </w:p>
    <w:p w14:paraId="4918A4D7" w14:textId="3A0C0810" w:rsidR="0024604C" w:rsidRDefault="00000000">
      <w:pPr>
        <w:pStyle w:val="Corpsdetexte"/>
        <w:rPr>
          <w:rFonts w:ascii="Century Gothic" w:hAnsi="Century Gothic"/>
        </w:rPr>
      </w:pPr>
      <w:r w:rsidRPr="0024604C">
        <w:rPr>
          <w:rFonts w:ascii="Century Gothic" w:hAnsi="Century Gothic"/>
          <w:b/>
          <w:bCs/>
        </w:rPr>
        <w:t xml:space="preserve">Analyse </w:t>
      </w:r>
      <w:r w:rsidR="00364B64" w:rsidRPr="0024604C">
        <w:rPr>
          <w:rFonts w:ascii="Century Gothic" w:hAnsi="Century Gothic"/>
          <w:b/>
          <w:bCs/>
        </w:rPr>
        <w:t>statistique</w:t>
      </w:r>
      <w:r w:rsidR="00364B64" w:rsidRPr="0024604C">
        <w:rPr>
          <w:rFonts w:ascii="Century Gothic" w:hAnsi="Century Gothic"/>
        </w:rPr>
        <w:t xml:space="preserve"> :</w:t>
      </w:r>
    </w:p>
    <w:p w14:paraId="1751E71B" w14:textId="5DF20AFF" w:rsidR="00C00237" w:rsidRPr="0024604C" w:rsidRDefault="00000000" w:rsidP="00364B64">
      <w:pPr>
        <w:pStyle w:val="Corpsdetexte"/>
        <w:spacing w:line="360" w:lineRule="auto"/>
        <w:rPr>
          <w:rFonts w:ascii="Century Gothic" w:hAnsi="Century Gothic"/>
        </w:rPr>
      </w:pPr>
      <w:r w:rsidRPr="0024604C">
        <w:rPr>
          <w:rFonts w:ascii="Century Gothic" w:hAnsi="Century Gothic"/>
        </w:rPr>
        <w:t xml:space="preserve"> - Calcul du taux de décrochage global et par sous-groupes.</w:t>
      </w:r>
      <w:r w:rsidRPr="0024604C">
        <w:rPr>
          <w:rFonts w:ascii="Century Gothic" w:hAnsi="Century Gothic"/>
        </w:rPr>
        <w:br/>
        <w:t>- Diagrammes (barres, camemberts) et tableaux croisés.</w:t>
      </w:r>
      <w:r w:rsidRPr="0024604C">
        <w:rPr>
          <w:rFonts w:ascii="Century Gothic" w:hAnsi="Century Gothic"/>
        </w:rPr>
        <w:br/>
        <w:t>- Comparaison statistique entre garçons et filles, zones proches/éloignées de l’école.</w:t>
      </w:r>
      <w:bookmarkStart w:id="5" w:name="budget-estimatif"/>
      <w:bookmarkEnd w:id="4"/>
    </w:p>
    <w:p w14:paraId="4D6488C7" w14:textId="268A3B2C" w:rsidR="00C00237" w:rsidRPr="0024604C" w:rsidRDefault="0024604C">
      <w:pPr>
        <w:pStyle w:val="Titre3"/>
        <w:rPr>
          <w:rFonts w:ascii="Century Gothic" w:hAnsi="Century Gothic"/>
        </w:rPr>
      </w:pPr>
      <w:bookmarkStart w:id="6" w:name="résultats-attendus"/>
      <w:bookmarkEnd w:id="5"/>
      <w:r w:rsidRPr="0024604C">
        <w:rPr>
          <w:rFonts w:ascii="Century Gothic" w:hAnsi="Century Gothic"/>
        </w:rPr>
        <w:t>5</w:t>
      </w:r>
      <w:r w:rsidR="00000000" w:rsidRPr="0024604C">
        <w:rPr>
          <w:rFonts w:ascii="Century Gothic" w:hAnsi="Century Gothic"/>
        </w:rPr>
        <w:t>. Résultats attendus</w:t>
      </w:r>
    </w:p>
    <w:p w14:paraId="24E020A6" w14:textId="77777777" w:rsidR="00C00237" w:rsidRPr="0024604C" w:rsidRDefault="00000000">
      <w:pPr>
        <w:pStyle w:val="Compact"/>
        <w:numPr>
          <w:ilvl w:val="0"/>
          <w:numId w:val="3"/>
        </w:numPr>
        <w:rPr>
          <w:rFonts w:ascii="Century Gothic" w:hAnsi="Century Gothic"/>
        </w:rPr>
      </w:pPr>
      <w:r w:rsidRPr="0024604C">
        <w:rPr>
          <w:rFonts w:ascii="Century Gothic" w:hAnsi="Century Gothic"/>
        </w:rPr>
        <w:t>Un rapport clair avec statistiques et graphiques.</w:t>
      </w:r>
      <w:r w:rsidRPr="0024604C">
        <w:rPr>
          <w:rFonts w:ascii="Century Gothic" w:hAnsi="Century Gothic"/>
        </w:rPr>
        <w:br/>
      </w:r>
    </w:p>
    <w:p w14:paraId="4551386D" w14:textId="77777777" w:rsidR="00C00237" w:rsidRPr="0024604C" w:rsidRDefault="00000000">
      <w:pPr>
        <w:pStyle w:val="Compact"/>
        <w:numPr>
          <w:ilvl w:val="0"/>
          <w:numId w:val="3"/>
        </w:numPr>
        <w:rPr>
          <w:rFonts w:ascii="Century Gothic" w:hAnsi="Century Gothic"/>
        </w:rPr>
      </w:pPr>
      <w:r w:rsidRPr="0024604C">
        <w:rPr>
          <w:rFonts w:ascii="Century Gothic" w:hAnsi="Century Gothic"/>
        </w:rPr>
        <w:t>Une carte des zones à forte prévalence de décrochage.</w:t>
      </w:r>
      <w:r w:rsidRPr="0024604C">
        <w:rPr>
          <w:rFonts w:ascii="Century Gothic" w:hAnsi="Century Gothic"/>
        </w:rPr>
        <w:br/>
      </w:r>
    </w:p>
    <w:p w14:paraId="57EE894F" w14:textId="77777777" w:rsidR="00C00237" w:rsidRDefault="00000000">
      <w:pPr>
        <w:pStyle w:val="Compact"/>
        <w:numPr>
          <w:ilvl w:val="0"/>
          <w:numId w:val="3"/>
        </w:numPr>
      </w:pPr>
      <w:r w:rsidRPr="0024604C">
        <w:rPr>
          <w:rFonts w:ascii="Century Gothic" w:hAnsi="Century Gothic"/>
        </w:rPr>
        <w:t>Recommandations ciblées aux</w:t>
      </w:r>
      <w:r>
        <w:t xml:space="preserve"> décideurs locaux et ONG.</w:t>
      </w:r>
      <w:bookmarkEnd w:id="0"/>
      <w:bookmarkEnd w:id="6"/>
    </w:p>
    <w:sectPr w:rsidR="00C00237">
      <w:footnotePr>
        <w:numRestart w:val="eachSect"/>
      </w:footnotePr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BC5C99B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A90A1D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4DDC7E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A050F0A"/>
    <w:multiLevelType w:val="hybridMultilevel"/>
    <w:tmpl w:val="83C21B46"/>
    <w:lvl w:ilvl="0" w:tplc="0C00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1937595535">
    <w:abstractNumId w:val="0"/>
  </w:num>
  <w:num w:numId="2" w16cid:durableId="20556122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29492287">
    <w:abstractNumId w:val="1"/>
  </w:num>
  <w:num w:numId="4" w16cid:durableId="1668703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0237"/>
    <w:rsid w:val="00142BED"/>
    <w:rsid w:val="0024604C"/>
    <w:rsid w:val="00274C75"/>
    <w:rsid w:val="003230C7"/>
    <w:rsid w:val="00364B64"/>
    <w:rsid w:val="00C0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7B177"/>
  <w15:docId w15:val="{87062FB1-599A-4E8C-A040-A3F68DDE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Corpsdetexte"/>
    <w:link w:val="Titre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Corpsdetexte"/>
    <w:link w:val="Titre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Corpsdetexte"/>
    <w:link w:val="Titre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Corpsdetexte"/>
    <w:link w:val="Titre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Corpsdetexte"/>
    <w:link w:val="Titre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Corpsdetexte"/>
    <w:link w:val="Titre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Corpsdetexte"/>
    <w:link w:val="Titre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Corpsdetexte"/>
    <w:link w:val="Titre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Corpsdetexte"/>
    <w:link w:val="Titre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link w:val="Titre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Titre"/>
    <w:next w:val="Corpsdetexte"/>
    <w:link w:val="Sous-titre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character" w:customStyle="1" w:styleId="Titre1Car">
    <w:name w:val="Titre 1 Car"/>
    <w:basedOn w:val="Policepardfaut"/>
    <w:link w:val="Titre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Notedebasdepage"/>
    <w:next w:val="Notedebasdepag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156082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NENE AISSATA BALDE</cp:lastModifiedBy>
  <cp:revision>4</cp:revision>
  <dcterms:created xsi:type="dcterms:W3CDTF">2025-08-14T20:39:00Z</dcterms:created>
  <dcterms:modified xsi:type="dcterms:W3CDTF">2025-08-14T20:58:00Z</dcterms:modified>
</cp:coreProperties>
</file>